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80" w:lineRule="exact"/>
        <w:ind w:left="0" w:right="641" w:firstLine="0" w:firstLineChars="0"/>
        <w:rPr>
          <w:rFonts w:hAnsi="仿宋" w:eastAsia="仿宋"/>
        </w:rPr>
      </w:pPr>
    </w:p>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新邵县人民代表大会常务委员会</w:t>
      </w:r>
    </w:p>
    <w:p>
      <w:pPr>
        <w:keepNext w:val="0"/>
        <w:keepLines w:val="0"/>
        <w:pageBreakBefore w:val="0"/>
        <w:widowControl w:val="0"/>
        <w:kinsoku/>
        <w:wordWrap/>
        <w:overflowPunct/>
        <w:topLinePunct w:val="0"/>
        <w:autoSpaceDE/>
        <w:autoSpaceDN/>
        <w:bidi w:val="0"/>
        <w:adjustRightInd/>
        <w:snapToGrid/>
        <w:spacing w:line="640" w:lineRule="exact"/>
        <w:ind w:left="0" w:firstLine="0" w:firstLineChars="0"/>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20</w:t>
      </w:r>
      <w:r>
        <w:rPr>
          <w:rFonts w:hint="eastAsia" w:ascii="黑体" w:hAnsi="黑体" w:eastAsia="黑体" w:cs="黑体"/>
          <w:b/>
          <w:bCs/>
          <w:sz w:val="44"/>
          <w:szCs w:val="44"/>
          <w:lang w:val="en-US" w:eastAsia="zh-CN"/>
        </w:rPr>
        <w:t>24</w:t>
      </w:r>
      <w:r>
        <w:rPr>
          <w:rFonts w:hint="eastAsia" w:ascii="黑体" w:hAnsi="黑体" w:eastAsia="黑体" w:cs="黑体"/>
          <w:b/>
          <w:bCs/>
          <w:sz w:val="44"/>
          <w:szCs w:val="44"/>
        </w:rPr>
        <w:t>年度部门整体支出绩效自评报告</w:t>
      </w:r>
    </w:p>
    <w:p>
      <w:pPr>
        <w:keepNext w:val="0"/>
        <w:keepLines w:val="0"/>
        <w:pageBreakBefore w:val="0"/>
        <w:kinsoku/>
        <w:wordWrap/>
        <w:overflowPunct/>
        <w:topLinePunct w:val="0"/>
        <w:autoSpaceDE/>
        <w:autoSpaceDN/>
        <w:bidi w:val="0"/>
        <w:adjustRightInd w:val="0"/>
        <w:spacing w:line="640" w:lineRule="exact"/>
        <w:ind w:left="480" w:right="641" w:hanging="48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snapToGrid w:val="0"/>
        <w:spacing w:after="156" w:afterLines="50" w:line="640" w:lineRule="exact"/>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为规范和加强财政资金管理，切实提高财政资金使用效益，</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县财政</w:t>
      </w:r>
      <w:r>
        <w:rPr>
          <w:rFonts w:hint="eastAsia" w:ascii="仿宋_GB2312" w:hAnsi="仿宋_GB2312" w:eastAsia="仿宋_GB2312" w:cs="仿宋_GB2312"/>
          <w:sz w:val="32"/>
          <w:szCs w:val="32"/>
        </w:rPr>
        <w:t>要求，</w:t>
      </w:r>
      <w:r>
        <w:rPr>
          <w:rFonts w:hint="eastAsia" w:ascii="仿宋_GB2312" w:hAnsi="仿宋_GB2312" w:eastAsia="仿宋_GB2312" w:cs="仿宋_GB2312"/>
          <w:sz w:val="32"/>
          <w:szCs w:val="32"/>
          <w:lang w:eastAsia="zh-CN"/>
        </w:rPr>
        <w:t>我机关对</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部门整体支</w:t>
      </w:r>
      <w:r>
        <w:rPr>
          <w:rFonts w:hint="eastAsia" w:ascii="仿宋_GB2312" w:hAnsi="仿宋_GB2312" w:eastAsia="仿宋_GB2312" w:cs="仿宋_GB2312"/>
          <w:sz w:val="32"/>
          <w:szCs w:val="32"/>
          <w:lang w:eastAsia="zh-CN"/>
        </w:rPr>
        <w:t>出进行绩效自评。此次自评采用查阅资料、现场查看、定量和定性分析等方法，对预算配置、预算执行、预算管理、资产管理、绩效管理、职责履行、履职效益等方面</w:t>
      </w:r>
      <w:r>
        <w:rPr>
          <w:rFonts w:hint="eastAsia" w:ascii="仿宋_GB2312" w:hAnsi="仿宋_GB2312" w:eastAsia="仿宋_GB2312" w:cs="仿宋_GB2312"/>
          <w:sz w:val="32"/>
          <w:szCs w:val="32"/>
        </w:rPr>
        <w:t>进行绩效评价。现将绩效评价</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报告如下：</w:t>
      </w:r>
    </w:p>
    <w:p>
      <w:pPr>
        <w:pStyle w:val="2"/>
        <w:keepNext w:val="0"/>
        <w:keepLines w:val="0"/>
        <w:pageBreakBefore w:val="0"/>
        <w:widowControl/>
        <w:numPr>
          <w:ilvl w:val="0"/>
          <w:numId w:val="1"/>
        </w:numPr>
        <w:kinsoku/>
        <w:wordWrap/>
        <w:overflowPunct/>
        <w:topLinePunct w:val="0"/>
        <w:autoSpaceDE/>
        <w:autoSpaceDN/>
        <w:bidi w:val="0"/>
        <w:spacing w:before="0" w:beforeAutospacing="0" w:after="0" w:afterAutospacing="0" w:line="640" w:lineRule="exact"/>
        <w:ind w:firstLine="643" w:firstLineChars="200"/>
        <w:jc w:val="both"/>
        <w:textAlignment w:val="auto"/>
        <w:rPr>
          <w:rFonts w:hint="eastAsia" w:ascii="黑体" w:hAnsi="黑体" w:eastAsia="黑体" w:cs="黑体"/>
          <w:b/>
          <w:bCs/>
          <w:i w:val="0"/>
          <w:iCs w:val="0"/>
          <w:caps w:val="0"/>
          <w:color w:val="1E1E1E"/>
          <w:spacing w:val="0"/>
          <w:kern w:val="0"/>
          <w:sz w:val="32"/>
          <w:szCs w:val="32"/>
          <w:shd w:val="clear" w:color="auto" w:fill="FFFFFF"/>
          <w:lang w:val="en-US" w:eastAsia="zh-CN" w:bidi="ar-SA"/>
        </w:rPr>
      </w:pPr>
      <w:r>
        <w:rPr>
          <w:rFonts w:hint="eastAsia" w:ascii="黑体" w:hAnsi="黑体" w:eastAsia="黑体" w:cs="黑体"/>
          <w:b/>
          <w:bCs/>
          <w:i w:val="0"/>
          <w:iCs w:val="0"/>
          <w:caps w:val="0"/>
          <w:color w:val="1E1E1E"/>
          <w:spacing w:val="0"/>
          <w:kern w:val="0"/>
          <w:sz w:val="32"/>
          <w:szCs w:val="32"/>
          <w:shd w:val="clear" w:color="auto" w:fill="FFFFFF"/>
          <w:lang w:val="en-US" w:eastAsia="zh-CN" w:bidi="ar-SA"/>
        </w:rPr>
        <w:t>部门概况</w:t>
      </w:r>
    </w:p>
    <w:p>
      <w:pPr>
        <w:pStyle w:val="2"/>
        <w:keepNext w:val="0"/>
        <w:keepLines w:val="0"/>
        <w:pageBreakBefore w:val="0"/>
        <w:widowControl/>
        <w:numPr>
          <w:ilvl w:val="0"/>
          <w:numId w:val="0"/>
        </w:numPr>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sz w:val="32"/>
          <w:szCs w:val="32"/>
        </w:rPr>
      </w:pPr>
      <w:r>
        <w:rPr>
          <w:rFonts w:hint="eastAsia" w:ascii="仿宋" w:hAnsi="仿宋" w:eastAsia="仿宋" w:cs="黑体"/>
          <w:b w:val="0"/>
          <w:sz w:val="32"/>
          <w:szCs w:val="32"/>
          <w:lang w:eastAsia="zh-CN"/>
        </w:rPr>
        <w:t>（</w:t>
      </w:r>
      <w:r>
        <w:rPr>
          <w:rFonts w:hint="eastAsia" w:ascii="仿宋" w:hAnsi="仿宋" w:eastAsia="仿宋" w:cs="黑体"/>
          <w:b w:val="0"/>
          <w:sz w:val="32"/>
          <w:szCs w:val="32"/>
          <w:lang w:val="en-US" w:eastAsia="zh-CN"/>
        </w:rPr>
        <w:t>一</w:t>
      </w:r>
      <w:r>
        <w:rPr>
          <w:rFonts w:hint="eastAsia" w:ascii="仿宋" w:hAnsi="仿宋" w:eastAsia="仿宋" w:cs="黑体"/>
          <w:b w:val="0"/>
          <w:sz w:val="32"/>
          <w:szCs w:val="32"/>
          <w:lang w:eastAsia="zh-CN"/>
        </w:rPr>
        <w:t>）</w:t>
      </w:r>
      <w:r>
        <w:rPr>
          <w:rFonts w:hint="eastAsia" w:ascii="仿宋" w:hAnsi="仿宋" w:eastAsia="仿宋" w:cs="黑体"/>
          <w:b w:val="0"/>
          <w:sz w:val="32"/>
          <w:szCs w:val="32"/>
        </w:rPr>
        <w:t>部门基本情况。</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新邵县人大常委会行政编制为2</w:t>
      </w:r>
      <w:r>
        <w:rPr>
          <w:rFonts w:hint="eastAsia" w:ascii="仿宋" w:hAnsi="仿宋" w:eastAsia="仿宋" w:cs="黑体"/>
          <w:b w:val="0"/>
          <w:color w:val="auto"/>
          <w:sz w:val="32"/>
          <w:szCs w:val="32"/>
          <w:lang w:val="en-US" w:eastAsia="zh-CN"/>
        </w:rPr>
        <w:t>2</w:t>
      </w:r>
      <w:r>
        <w:rPr>
          <w:rFonts w:hint="eastAsia" w:ascii="仿宋" w:hAnsi="仿宋" w:eastAsia="仿宋" w:cs="黑体"/>
          <w:b w:val="0"/>
          <w:color w:val="auto"/>
          <w:sz w:val="32"/>
          <w:szCs w:val="32"/>
        </w:rPr>
        <w:t>人，</w:t>
      </w:r>
      <w:r>
        <w:rPr>
          <w:rFonts w:hint="eastAsia" w:ascii="仿宋" w:hAnsi="仿宋" w:eastAsia="仿宋" w:cs="黑体"/>
          <w:b w:val="0"/>
          <w:color w:val="auto"/>
          <w:sz w:val="32"/>
          <w:szCs w:val="32"/>
          <w:lang w:val="en-US" w:eastAsia="zh-CN"/>
        </w:rPr>
        <w:t>实有人数32</w:t>
      </w:r>
      <w:r>
        <w:rPr>
          <w:rFonts w:hint="eastAsia" w:ascii="仿宋" w:hAnsi="仿宋" w:eastAsia="仿宋" w:cs="黑体"/>
          <w:b w:val="0"/>
          <w:color w:val="auto"/>
          <w:sz w:val="32"/>
          <w:szCs w:val="32"/>
        </w:rPr>
        <w:t>人</w:t>
      </w:r>
      <w:r>
        <w:rPr>
          <w:rFonts w:hint="eastAsia" w:ascii="仿宋" w:hAnsi="仿宋" w:eastAsia="仿宋" w:cs="黑体"/>
          <w:b w:val="0"/>
          <w:color w:val="auto"/>
          <w:sz w:val="32"/>
          <w:szCs w:val="32"/>
          <w:lang w:eastAsia="zh-CN"/>
        </w:rPr>
        <w:t>；</w:t>
      </w:r>
      <w:r>
        <w:rPr>
          <w:rFonts w:hint="eastAsia" w:ascii="仿宋" w:hAnsi="仿宋" w:eastAsia="仿宋" w:cs="黑体"/>
          <w:b w:val="0"/>
          <w:color w:val="auto"/>
          <w:sz w:val="32"/>
          <w:szCs w:val="32"/>
          <w:lang w:val="en-US" w:eastAsia="zh-CN"/>
        </w:rPr>
        <w:t>事业编制4人，实有人数4人；工勤3人；</w:t>
      </w:r>
      <w:r>
        <w:rPr>
          <w:rFonts w:hint="eastAsia" w:ascii="仿宋" w:hAnsi="仿宋" w:eastAsia="仿宋" w:cs="黑体"/>
          <w:b w:val="0"/>
          <w:color w:val="auto"/>
          <w:sz w:val="32"/>
          <w:szCs w:val="32"/>
        </w:rPr>
        <w:t>离退休人员</w:t>
      </w:r>
      <w:r>
        <w:rPr>
          <w:rFonts w:hint="eastAsia" w:ascii="仿宋" w:hAnsi="仿宋" w:eastAsia="仿宋" w:cs="黑体"/>
          <w:b w:val="0"/>
          <w:color w:val="auto"/>
          <w:sz w:val="32"/>
          <w:szCs w:val="32"/>
          <w:lang w:val="en-US" w:eastAsia="zh-CN"/>
        </w:rPr>
        <w:t>46</w:t>
      </w:r>
      <w:r>
        <w:rPr>
          <w:rFonts w:hint="eastAsia" w:ascii="仿宋" w:hAnsi="仿宋" w:eastAsia="仿宋" w:cs="黑体"/>
          <w:b w:val="0"/>
          <w:color w:val="auto"/>
          <w:sz w:val="32"/>
          <w:szCs w:val="32"/>
        </w:rPr>
        <w:t>人</w:t>
      </w:r>
      <w:r>
        <w:rPr>
          <w:rFonts w:hint="eastAsia" w:ascii="仿宋" w:hAnsi="仿宋" w:eastAsia="仿宋" w:cs="黑体"/>
          <w:b w:val="0"/>
          <w:color w:val="auto"/>
          <w:sz w:val="32"/>
          <w:szCs w:val="32"/>
          <w:lang w:eastAsia="zh-CN"/>
        </w:rPr>
        <w:t>；</w:t>
      </w:r>
      <w:r>
        <w:rPr>
          <w:rFonts w:hint="eastAsia" w:ascii="仿宋" w:hAnsi="仿宋" w:eastAsia="仿宋" w:cs="黑体"/>
          <w:b w:val="0"/>
          <w:color w:val="auto"/>
          <w:sz w:val="32"/>
          <w:szCs w:val="32"/>
        </w:rPr>
        <w:t>临</w:t>
      </w:r>
      <w:r>
        <w:rPr>
          <w:rFonts w:hint="eastAsia" w:ascii="仿宋" w:hAnsi="仿宋" w:eastAsia="仿宋" w:cs="黑体"/>
          <w:b w:val="0"/>
          <w:color w:val="auto"/>
          <w:sz w:val="32"/>
          <w:szCs w:val="32"/>
          <w:lang w:eastAsia="zh-CN"/>
        </w:rPr>
        <w:t>聘</w:t>
      </w:r>
      <w:r>
        <w:rPr>
          <w:rFonts w:hint="eastAsia" w:ascii="仿宋" w:hAnsi="仿宋" w:eastAsia="仿宋" w:cs="黑体"/>
          <w:b w:val="0"/>
          <w:color w:val="auto"/>
          <w:sz w:val="32"/>
          <w:szCs w:val="32"/>
        </w:rPr>
        <w:t>人员</w:t>
      </w:r>
      <w:r>
        <w:rPr>
          <w:rFonts w:hint="eastAsia" w:ascii="仿宋" w:hAnsi="仿宋" w:eastAsia="仿宋" w:cs="黑体"/>
          <w:b w:val="0"/>
          <w:color w:val="auto"/>
          <w:sz w:val="32"/>
          <w:szCs w:val="32"/>
          <w:lang w:val="en-US" w:eastAsia="zh-CN"/>
        </w:rPr>
        <w:t>3</w:t>
      </w:r>
      <w:r>
        <w:rPr>
          <w:rFonts w:hint="eastAsia" w:ascii="仿宋" w:hAnsi="仿宋" w:eastAsia="仿宋" w:cs="黑体"/>
          <w:b w:val="0"/>
          <w:color w:val="auto"/>
          <w:sz w:val="32"/>
          <w:szCs w:val="32"/>
        </w:rPr>
        <w:t>人。内设人大常委会办公室</w:t>
      </w:r>
      <w:r>
        <w:rPr>
          <w:rFonts w:hint="eastAsia" w:ascii="仿宋" w:hAnsi="仿宋" w:eastAsia="仿宋" w:cs="仿宋"/>
          <w:b w:val="0"/>
          <w:bCs/>
          <w:sz w:val="32"/>
          <w:szCs w:val="32"/>
        </w:rPr>
        <w:t>（加挂信访办公室牌子）、选举任免联络工作委员会</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rPr>
        <w:t>监察和司法委员会（法制委员会）、财政经济委员会（常委会预算工作委员会）、教育科学文化卫生委员会（民族华侨外事委员会）、环境与资源保护委员会、农业与农村委员会、社会建设委员会</w:t>
      </w:r>
      <w:r>
        <w:rPr>
          <w:rFonts w:hint="eastAsia" w:ascii="仿宋" w:hAnsi="仿宋" w:eastAsia="仿宋" w:cs="黑体"/>
          <w:b w:val="0"/>
          <w:color w:val="auto"/>
          <w:sz w:val="32"/>
          <w:szCs w:val="32"/>
        </w:rPr>
        <w:t>共</w:t>
      </w:r>
      <w:r>
        <w:rPr>
          <w:rFonts w:hint="eastAsia" w:ascii="仿宋" w:hAnsi="仿宋" w:eastAsia="仿宋" w:cs="黑体"/>
          <w:b w:val="0"/>
          <w:color w:val="auto"/>
          <w:sz w:val="32"/>
          <w:szCs w:val="32"/>
          <w:lang w:val="en-US" w:eastAsia="zh-CN"/>
        </w:rPr>
        <w:t>8</w:t>
      </w:r>
      <w:r>
        <w:rPr>
          <w:rFonts w:hint="eastAsia" w:ascii="仿宋" w:hAnsi="仿宋" w:eastAsia="仿宋" w:cs="黑体"/>
          <w:b w:val="0"/>
          <w:color w:val="auto"/>
          <w:sz w:val="32"/>
          <w:szCs w:val="32"/>
        </w:rPr>
        <w:t>个委室。</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（二）工作职责。</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1.在本行政区域内，保证宪法、法律、行政法规和上级人民代表大会及其常务委员会决议的遵守和执行；</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2.领导或者主持本级人民代表大会代表的选举；</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3.召集本级人民代表大会会议；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4.讨论、决定本行政区域内的政治、经济、教育、科学、文化、卫生、环境和资源保护、民政、民族等工作的重大事项；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5.根据本级人民政府的建议，决定对本行政区域内的国民经济和社会发展计划、预算的部分变更；</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6.监督本级人民政府、</w:t>
      </w:r>
      <w:r>
        <w:rPr>
          <w:rFonts w:hint="eastAsia" w:ascii="仿宋" w:hAnsi="仿宋" w:eastAsia="仿宋" w:cs="黑体"/>
          <w:b w:val="0"/>
          <w:color w:val="auto"/>
          <w:sz w:val="32"/>
          <w:szCs w:val="32"/>
          <w:lang w:eastAsia="zh-CN"/>
        </w:rPr>
        <w:t>监察委员会、</w:t>
      </w:r>
      <w:r>
        <w:rPr>
          <w:rFonts w:hint="eastAsia" w:ascii="仿宋" w:hAnsi="仿宋" w:eastAsia="仿宋" w:cs="黑体"/>
          <w:b w:val="0"/>
          <w:color w:val="auto"/>
          <w:sz w:val="32"/>
          <w:szCs w:val="32"/>
        </w:rPr>
        <w:t>人民法院和人民检察院的工作，联系本级人民代表大会代表，受理人民群众对上述机关和国家工作人员的申诉和意见；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7.撤销下一级人民代表大会的不适当的决议；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8.撤销本级人民政府的不适当的决定和命令；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9.在本级人民代表大会闭会期间，决定副县长的个别任免；在县长</w:t>
      </w:r>
      <w:r>
        <w:rPr>
          <w:rFonts w:hint="eastAsia" w:ascii="仿宋" w:hAnsi="仿宋" w:eastAsia="仿宋" w:cs="黑体"/>
          <w:b w:val="0"/>
          <w:color w:val="auto"/>
          <w:sz w:val="32"/>
          <w:szCs w:val="32"/>
          <w:lang w:eastAsia="zh-CN"/>
        </w:rPr>
        <w:t>、监察委员会主任、</w:t>
      </w:r>
      <w:r>
        <w:rPr>
          <w:rFonts w:hint="eastAsia" w:ascii="仿宋" w:hAnsi="仿宋" w:eastAsia="仿宋" w:cs="黑体"/>
          <w:b w:val="0"/>
          <w:color w:val="auto"/>
          <w:sz w:val="32"/>
          <w:szCs w:val="32"/>
        </w:rPr>
        <w:t>人民法院院长、人民检察院检察长因故不能担任职务的时候，从本级人民政府、</w:t>
      </w:r>
      <w:r>
        <w:rPr>
          <w:rFonts w:hint="eastAsia" w:ascii="仿宋" w:hAnsi="仿宋" w:eastAsia="仿宋" w:cs="黑体"/>
          <w:b w:val="0"/>
          <w:color w:val="auto"/>
          <w:sz w:val="32"/>
          <w:szCs w:val="32"/>
          <w:lang w:eastAsia="zh-CN"/>
        </w:rPr>
        <w:t>监察委员会、</w:t>
      </w:r>
      <w:r>
        <w:rPr>
          <w:rFonts w:hint="eastAsia" w:ascii="仿宋" w:hAnsi="仿宋" w:eastAsia="仿宋" w:cs="黑体"/>
          <w:b w:val="0"/>
          <w:color w:val="auto"/>
          <w:sz w:val="32"/>
          <w:szCs w:val="32"/>
        </w:rPr>
        <w:t xml:space="preserve">人民法院、人民检察院副职领导人员中决定代理的人选；决定代理检察长，须报上一级人民检察院和人民代表大会常务委员会备案；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10.根据县长的提名，决定本级人民政府局长（主任）的任免</w:t>
      </w:r>
      <w:r>
        <w:rPr>
          <w:rFonts w:hint="eastAsia" w:ascii="仿宋" w:hAnsi="仿宋" w:eastAsia="仿宋" w:cs="黑体"/>
          <w:b w:val="0"/>
          <w:color w:val="auto"/>
          <w:sz w:val="32"/>
          <w:szCs w:val="32"/>
          <w:lang w:eastAsia="zh-CN"/>
        </w:rPr>
        <w:t>，报上一级人民政府备案</w:t>
      </w:r>
      <w:r>
        <w:rPr>
          <w:rFonts w:hint="eastAsia" w:ascii="仿宋" w:hAnsi="仿宋" w:eastAsia="仿宋" w:cs="黑体"/>
          <w:b w:val="0"/>
          <w:color w:val="auto"/>
          <w:sz w:val="32"/>
          <w:szCs w:val="32"/>
        </w:rPr>
        <w:t>；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11.按照</w:t>
      </w:r>
      <w:r>
        <w:rPr>
          <w:rFonts w:hint="eastAsia" w:ascii="仿宋" w:hAnsi="仿宋" w:eastAsia="仿宋" w:cs="黑体"/>
          <w:b w:val="0"/>
          <w:color w:val="auto"/>
          <w:sz w:val="32"/>
          <w:szCs w:val="32"/>
          <w:lang w:eastAsia="zh-CN"/>
        </w:rPr>
        <w:t>监察法、</w:t>
      </w:r>
      <w:r>
        <w:rPr>
          <w:rFonts w:hint="eastAsia" w:ascii="仿宋" w:hAnsi="仿宋" w:eastAsia="仿宋" w:cs="黑体"/>
          <w:b w:val="0"/>
          <w:color w:val="auto"/>
          <w:sz w:val="32"/>
          <w:szCs w:val="32"/>
        </w:rPr>
        <w:t>人民法院组织法和人民检察院组织法的规定，任免</w:t>
      </w:r>
      <w:r>
        <w:rPr>
          <w:rFonts w:hint="eastAsia" w:ascii="仿宋" w:hAnsi="仿宋" w:eastAsia="仿宋" w:cs="黑体"/>
          <w:b w:val="0"/>
          <w:color w:val="auto"/>
          <w:sz w:val="32"/>
          <w:szCs w:val="32"/>
          <w:lang w:eastAsia="zh-CN"/>
        </w:rPr>
        <w:t>县监察委员会副主任、委员；</w:t>
      </w:r>
      <w:r>
        <w:rPr>
          <w:rFonts w:hint="eastAsia" w:ascii="仿宋" w:hAnsi="仿宋" w:eastAsia="仿宋" w:cs="黑体"/>
          <w:b w:val="0"/>
          <w:color w:val="auto"/>
          <w:sz w:val="32"/>
          <w:szCs w:val="32"/>
        </w:rPr>
        <w:t>县人民法院副院长、庭长、副庭长、审判委员会委员、审判员，任免县人民检察院副检察长、检察委员会委员、检察员；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12.在本级人民代表大会闭会期间，决定撤销个别副县长的职务；决定撤销由它任命的本级人民政府其他组成人员和人民法院副院长、庭长、副庭长、审判委员会委员、审判员，人民检察院副检察长、检察委员会委员、检察员的职务；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13.在本级人民代表大会闭会期间，补选上一级人民代表大会出缺的代表和罢免个别代表；　　</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14.决定授予地方的荣誉称号。</w:t>
      </w:r>
    </w:p>
    <w:p>
      <w:pPr>
        <w:pStyle w:val="2"/>
        <w:keepNext w:val="0"/>
        <w:keepLines w:val="0"/>
        <w:pageBreakBefore w:val="0"/>
        <w:widowControl/>
        <w:kinsoku/>
        <w:wordWrap/>
        <w:overflowPunct/>
        <w:topLinePunct w:val="0"/>
        <w:autoSpaceDE/>
        <w:autoSpaceDN/>
        <w:bidi w:val="0"/>
        <w:spacing w:before="0" w:beforeAutospacing="0" w:after="0" w:afterAutospacing="0" w:line="640" w:lineRule="exact"/>
        <w:ind w:firstLine="640" w:firstLineChars="200"/>
        <w:jc w:val="both"/>
        <w:textAlignment w:val="auto"/>
        <w:rPr>
          <w:rFonts w:hint="eastAsia" w:ascii="仿宋" w:hAnsi="仿宋" w:eastAsia="仿宋" w:cs="黑体"/>
          <w:b w:val="0"/>
          <w:color w:val="auto"/>
          <w:sz w:val="32"/>
          <w:szCs w:val="32"/>
        </w:rPr>
      </w:pPr>
      <w:r>
        <w:rPr>
          <w:rFonts w:hint="eastAsia" w:ascii="仿宋" w:hAnsi="仿宋" w:eastAsia="仿宋" w:cs="黑体"/>
          <w:b w:val="0"/>
          <w:color w:val="auto"/>
          <w:sz w:val="32"/>
          <w:szCs w:val="32"/>
        </w:rPr>
        <w:t>（三）20</w:t>
      </w:r>
      <w:r>
        <w:rPr>
          <w:rFonts w:hint="eastAsia" w:ascii="仿宋" w:hAnsi="仿宋" w:eastAsia="仿宋" w:cs="黑体"/>
          <w:b w:val="0"/>
          <w:color w:val="auto"/>
          <w:sz w:val="32"/>
          <w:szCs w:val="32"/>
          <w:lang w:val="en-US" w:eastAsia="zh-CN"/>
        </w:rPr>
        <w:t>24</w:t>
      </w:r>
      <w:r>
        <w:rPr>
          <w:rFonts w:hint="eastAsia" w:ascii="仿宋" w:hAnsi="仿宋" w:eastAsia="仿宋" w:cs="黑体"/>
          <w:b w:val="0"/>
          <w:color w:val="auto"/>
          <w:sz w:val="32"/>
          <w:szCs w:val="32"/>
        </w:rPr>
        <w:t>年度工作计划。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坚持党的全面领导。充分发挥常委会党组把方向、管大局、保落实的领导作用，坚持以政治建设为统领，认真履行全面从严治党主体责任，深入推进人大机关党的建设，确保党中央的路线方针政策和决策部署以及省委、市委、县委工作要求在人大工作中得到全面贯彻落实。严格执行请示报告制度，人大工作中的重大问题、重要事项、重要情况，要及时向县委请示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依法履行人大职权。认真执行《监督法》，实施正确监督、有效监督、依法监督，运用询问、质询、特定问题调查等法定监督手段，加大监督力度，增强监督实效，对“一府一委两院”落实人大及其常委会审议意见情况进行满意度测评。强化对重点专项资金、重大投资项目、转移支付、政府债务、预算绩效等的审查监督。完善审计查出突出问题整改情况向人大常委会报告机制，加强对整改落实情况的跟踪监督。深入推进预算联网监督，提升预算监督实效。扎实推进宪法法律贯彻实施。高标准建设基层立法联系点，不断扩大公民和代表对立法工作的参与，协助上级人大提高立法质量。配合做好湖南省法规规章规范性文件数据库文件更新上传和备案审查相关工作，加大对“一府一委两院”规范性文件备案审查力度，切实维护国家法治统一。切实加强司法体制改革新形势下对司法工作的监督，对监察官、法官和检察官进行履职评议。坚持党管干部与人大依法任免的有机统一，强化政治意识，依法正确行使任免权，确保党组织推荐的人选通过法定程序成为国家政权机关的领导人员。落实任前调查、任前法律知识考试、任职表态发言、民主审议、投票表决颁发任命书和向宪法宣誓等规定,增强被任命人员的宪法意识、责任意识和公仆意识。加强对常委会任命人员的任后监督，落实“一府一委两院”任命人员向人大常委会述职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充分发挥代表作用。加强代表工作能力建设，支持和保障代表更好依法履职。加强代表能力培训，继续组织好人大代表履职培训。畅通代表知情知政渠道，积极邀请代表广泛参与常委会、机关各委室的各项工作，努力提高代表履职能力。加强代表议案建议的跟踪与督办，继续实行常委会领导成员、人大专门委员会督办重点建议的机制，不断提高建议办理的落实率，对代表议案建议办理不力、代表不满意、问题得不到解决的进行专题询问或质询，并将处理结果向社会公开。建好用好人大代表联络站，推动代表更加主动联系人民群众，了解民情民意，做到民有所呼、我有所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4.全面加强自身建设。加强政治理论学习。全面落实新时代党的建设总要求，把党的政治建设摆在首位，持续深入学习习近平新时代中国特色社会主义思想和党的二十大</w:t>
      </w:r>
      <w:bookmarkStart w:id="0" w:name="_GoBack"/>
      <w:bookmarkEnd w:id="0"/>
      <w:r>
        <w:rPr>
          <w:rFonts w:hint="eastAsia" w:ascii="仿宋_GB2312" w:hAnsi="仿宋_GB2312" w:eastAsia="仿宋_GB2312" w:cs="仿宋_GB2312"/>
          <w:sz w:val="32"/>
          <w:szCs w:val="32"/>
          <w:lang w:val="en-US" w:eastAsia="zh-CN"/>
        </w:rPr>
        <w:t>精神，及时学习贯彻习近平总书记重要讲话和中央会议、文件精神，自觉用党的最新科学理论成果武装头脑,不断提高政治判断力、政治领悟力、政治执行力。狠抓干部作风建设。强化常委会及机关干部廉洁自律意识，树立好人大干部队伍形象。加强对干部的思想教育，持续转变干部作风，进一步提高工作效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黑体" w:hAnsi="黑体" w:eastAsia="黑体" w:cs="黑体"/>
          <w:b/>
          <w:bCs/>
          <w:i w:val="0"/>
          <w:iCs w:val="0"/>
          <w:caps w:val="0"/>
          <w:color w:val="1E1E1E"/>
          <w:spacing w:val="0"/>
          <w:sz w:val="32"/>
          <w:szCs w:val="32"/>
          <w:shd w:val="clear" w:color="auto" w:fill="FFFFFF"/>
        </w:rPr>
      </w:pPr>
      <w:r>
        <w:rPr>
          <w:rFonts w:hint="eastAsia" w:ascii="黑体" w:hAnsi="黑体" w:eastAsia="黑体" w:cs="黑体"/>
          <w:b/>
          <w:bCs/>
          <w:i w:val="0"/>
          <w:iCs w:val="0"/>
          <w:caps w:val="0"/>
          <w:color w:val="1E1E1E"/>
          <w:spacing w:val="0"/>
          <w:sz w:val="32"/>
          <w:szCs w:val="32"/>
          <w:shd w:val="clear" w:color="auto" w:fill="FFFFFF"/>
          <w:lang w:eastAsia="zh-CN"/>
        </w:rPr>
        <w:t>二、</w:t>
      </w:r>
      <w:r>
        <w:rPr>
          <w:rFonts w:hint="eastAsia" w:ascii="黑体" w:hAnsi="黑体" w:eastAsia="黑体" w:cs="黑体"/>
          <w:b/>
          <w:bCs/>
          <w:i w:val="0"/>
          <w:iCs w:val="0"/>
          <w:caps w:val="0"/>
          <w:color w:val="1E1E1E"/>
          <w:spacing w:val="0"/>
          <w:sz w:val="32"/>
          <w:szCs w:val="32"/>
          <w:shd w:val="clear" w:color="auto" w:fill="FFFFFF"/>
        </w:rPr>
        <w:t>部门整体支出管理及使用情况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right="0" w:firstLine="640" w:firstLineChars="200"/>
        <w:jc w:val="both"/>
        <w:textAlignment w:val="auto"/>
        <w:rPr>
          <w:rFonts w:hint="eastAsia" w:ascii="黑体" w:hAnsi="黑体" w:eastAsia="黑体" w:cs="黑体"/>
          <w:b/>
          <w:bCs/>
          <w:i w:val="0"/>
          <w:iCs w:val="0"/>
          <w:caps w:val="0"/>
          <w:color w:val="1E1E1E"/>
          <w:spacing w:val="0"/>
          <w:sz w:val="32"/>
          <w:szCs w:val="32"/>
          <w:shd w:val="clear" w:color="auto" w:fill="FFFFFF"/>
        </w:rPr>
      </w:pPr>
      <w:r>
        <w:rPr>
          <w:rFonts w:hint="eastAsia" w:ascii="仿宋" w:hAnsi="仿宋" w:eastAsia="仿宋" w:cs="仿宋"/>
          <w:i w:val="0"/>
          <w:iCs w:val="0"/>
          <w:caps w:val="0"/>
          <w:color w:val="1E1E1E"/>
          <w:spacing w:val="0"/>
          <w:sz w:val="32"/>
          <w:szCs w:val="32"/>
          <w:shd w:val="clear" w:color="auto" w:fill="FFFFFF"/>
        </w:rPr>
        <w:t>（一）</w:t>
      </w:r>
      <w:r>
        <w:rPr>
          <w:rFonts w:hint="eastAsia" w:ascii="仿宋" w:hAnsi="仿宋" w:eastAsia="仿宋" w:cs="仿宋"/>
          <w:i w:val="0"/>
          <w:iCs w:val="0"/>
          <w:caps w:val="0"/>
          <w:color w:val="1E1E1E"/>
          <w:spacing w:val="0"/>
          <w:sz w:val="32"/>
          <w:szCs w:val="32"/>
          <w:shd w:val="clear" w:color="auto" w:fill="FFFFFF"/>
          <w:lang w:eastAsia="zh-CN"/>
        </w:rPr>
        <w:t>预算执行情况</w:t>
      </w:r>
    </w:p>
    <w:p>
      <w:pPr>
        <w:keepNext w:val="0"/>
        <w:keepLines w:val="0"/>
        <w:pageBreakBefore w:val="0"/>
        <w:kinsoku/>
        <w:wordWrap/>
        <w:overflowPunct/>
        <w:topLinePunct w:val="0"/>
        <w:autoSpaceDE/>
        <w:autoSpaceDN/>
        <w:bidi w:val="0"/>
        <w:adjustRightInd w:val="0"/>
        <w:snapToGrid w:val="0"/>
        <w:spacing w:line="640" w:lineRule="exact"/>
        <w:ind w:left="73" w:leftChars="35"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收入预算：包括一般公共预算、政府性基金、纳入专户管理的非税收入，上级财政补助、事业单位经营服务收入、其他收入等单。2024年本部门收入预算</w:t>
      </w:r>
      <w:r>
        <w:rPr>
          <w:rFonts w:hint="eastAsia" w:ascii="仿宋" w:hAnsi="仿宋" w:eastAsia="仿宋" w:cs="仿宋"/>
          <w:sz w:val="32"/>
          <w:szCs w:val="32"/>
          <w:highlight w:val="none"/>
          <w:lang w:val="en-US" w:eastAsia="zh-CN"/>
        </w:rPr>
        <w:t>930.46</w:t>
      </w:r>
      <w:r>
        <w:rPr>
          <w:rFonts w:hint="eastAsia" w:ascii="仿宋" w:hAnsi="仿宋" w:eastAsia="仿宋" w:cs="仿宋"/>
          <w:color w:val="auto"/>
          <w:sz w:val="30"/>
          <w:szCs w:val="30"/>
          <w:lang w:val="en-US" w:eastAsia="zh-CN"/>
        </w:rPr>
        <w:t>万元，其中，一般公共预算拨款</w:t>
      </w:r>
      <w:r>
        <w:rPr>
          <w:rFonts w:hint="eastAsia" w:ascii="仿宋" w:hAnsi="仿宋" w:eastAsia="仿宋" w:cs="仿宋"/>
          <w:sz w:val="32"/>
          <w:szCs w:val="32"/>
          <w:highlight w:val="none"/>
          <w:lang w:val="en-US" w:eastAsia="zh-CN"/>
        </w:rPr>
        <w:t>930.46</w:t>
      </w:r>
      <w:r>
        <w:rPr>
          <w:rFonts w:hint="eastAsia" w:ascii="仿宋" w:hAnsi="仿宋" w:eastAsia="仿宋" w:cs="仿宋"/>
          <w:color w:val="auto"/>
          <w:sz w:val="30"/>
          <w:szCs w:val="30"/>
          <w:lang w:val="en-US" w:eastAsia="zh-CN"/>
        </w:rPr>
        <w:t>万元，政府性基金预算拨款 0 万元，纳入专户管理的非税收入0万元，上级财政补助收入0万元，事业单位经营服务收入及其他收入0万元。收入较去年减少52.75万元，其中一般公共预算拨款减少52.75万元。</w:t>
      </w:r>
    </w:p>
    <w:p>
      <w:pPr>
        <w:widowControl/>
        <w:spacing w:line="600" w:lineRule="exact"/>
        <w:ind w:firstLine="588" w:firstLineChars="196"/>
        <w:rPr>
          <w:rFonts w:hint="eastAsia" w:ascii="仿宋" w:hAnsi="仿宋" w:eastAsia="仿宋" w:cs="仿宋"/>
          <w:color w:val="0000FF"/>
          <w:sz w:val="30"/>
          <w:szCs w:val="30"/>
          <w:lang w:val="en-US" w:eastAsia="zh-CN"/>
        </w:rPr>
      </w:pPr>
      <w:r>
        <w:rPr>
          <w:rFonts w:hint="eastAsia" w:ascii="仿宋" w:hAnsi="仿宋" w:eastAsia="仿宋" w:cs="仿宋"/>
          <w:color w:val="auto"/>
          <w:sz w:val="30"/>
          <w:szCs w:val="30"/>
          <w:lang w:val="en-US" w:eastAsia="zh-CN"/>
        </w:rPr>
        <w:t>支出预算：2024年本部门支出预算</w:t>
      </w:r>
      <w:r>
        <w:rPr>
          <w:rFonts w:hint="eastAsia" w:ascii="仿宋" w:hAnsi="仿宋" w:eastAsia="仿宋" w:cs="仿宋"/>
          <w:sz w:val="32"/>
          <w:szCs w:val="32"/>
          <w:highlight w:val="none"/>
          <w:lang w:val="en-US" w:eastAsia="zh-CN"/>
        </w:rPr>
        <w:t>930.46</w:t>
      </w:r>
      <w:r>
        <w:rPr>
          <w:rFonts w:hint="eastAsia" w:ascii="仿宋" w:hAnsi="仿宋" w:eastAsia="仿宋" w:cs="仿宋"/>
          <w:color w:val="auto"/>
          <w:sz w:val="30"/>
          <w:szCs w:val="30"/>
          <w:lang w:val="en-US" w:eastAsia="zh-CN"/>
        </w:rPr>
        <w:t>万元，其中，</w:t>
      </w:r>
      <w:r>
        <w:rPr>
          <w:rFonts w:ascii="仿宋" w:hAnsi="仿宋" w:eastAsia="仿宋"/>
          <w:color w:val="auto"/>
          <w:sz w:val="32"/>
          <w:szCs w:val="32"/>
        </w:rPr>
        <w:t>一般公共服务</w:t>
      </w:r>
      <w:r>
        <w:rPr>
          <w:rFonts w:hint="eastAsia" w:ascii="仿宋" w:hAnsi="仿宋" w:eastAsia="仿宋" w:cs="仿宋"/>
          <w:b w:val="0"/>
          <w:bCs w:val="0"/>
          <w:color w:val="auto"/>
          <w:sz w:val="32"/>
          <w:szCs w:val="32"/>
          <w:u w:val="none"/>
        </w:rPr>
        <w:t>支出</w:t>
      </w:r>
      <w:r>
        <w:rPr>
          <w:rFonts w:hint="eastAsia" w:ascii="仿宋" w:hAnsi="仿宋" w:eastAsia="仿宋"/>
          <w:color w:val="auto"/>
          <w:sz w:val="32"/>
          <w:szCs w:val="32"/>
          <w:lang w:val="en-US" w:eastAsia="zh-CN"/>
        </w:rPr>
        <w:t>781.06</w:t>
      </w:r>
      <w:r>
        <w:rPr>
          <w:rFonts w:ascii="仿宋" w:hAnsi="仿宋" w:eastAsia="仿宋"/>
          <w:color w:val="auto"/>
          <w:sz w:val="32"/>
          <w:szCs w:val="32"/>
        </w:rPr>
        <w:t>万元，</w:t>
      </w:r>
      <w:r>
        <w:rPr>
          <w:rFonts w:hint="eastAsia" w:ascii="仿宋" w:hAnsi="仿宋" w:eastAsia="仿宋" w:cs="仿宋"/>
          <w:b w:val="0"/>
          <w:bCs w:val="0"/>
          <w:color w:val="auto"/>
          <w:sz w:val="32"/>
          <w:szCs w:val="32"/>
          <w:u w:val="none"/>
        </w:rPr>
        <w:t>社会保障和就业支出</w:t>
      </w:r>
      <w:r>
        <w:rPr>
          <w:rFonts w:hint="eastAsia" w:ascii="仿宋" w:hAnsi="仿宋" w:eastAsia="仿宋" w:cs="仿宋"/>
          <w:b w:val="0"/>
          <w:bCs w:val="0"/>
          <w:color w:val="auto"/>
          <w:sz w:val="32"/>
          <w:szCs w:val="32"/>
          <w:u w:val="none"/>
          <w:lang w:val="en-US" w:eastAsia="zh-CN"/>
        </w:rPr>
        <w:t>68.16</w:t>
      </w:r>
      <w:r>
        <w:rPr>
          <w:rFonts w:hint="eastAsia" w:ascii="仿宋" w:hAnsi="仿宋" w:eastAsia="仿宋" w:cs="仿宋"/>
          <w:b w:val="0"/>
          <w:bCs w:val="0"/>
          <w:color w:val="auto"/>
          <w:sz w:val="32"/>
          <w:szCs w:val="32"/>
          <w:u w:val="none"/>
        </w:rPr>
        <w:t>万元，卫生健康支出</w:t>
      </w:r>
      <w:r>
        <w:rPr>
          <w:rFonts w:hint="eastAsia" w:ascii="仿宋" w:hAnsi="仿宋" w:eastAsia="仿宋" w:cs="仿宋"/>
          <w:b w:val="0"/>
          <w:bCs w:val="0"/>
          <w:color w:val="auto"/>
          <w:sz w:val="32"/>
          <w:szCs w:val="32"/>
          <w:u w:val="none"/>
          <w:lang w:val="en-US" w:eastAsia="zh-CN"/>
        </w:rPr>
        <w:t>26.71</w:t>
      </w:r>
      <w:r>
        <w:rPr>
          <w:rFonts w:hint="eastAsia" w:ascii="仿宋" w:hAnsi="仿宋" w:eastAsia="仿宋" w:cs="仿宋"/>
          <w:b w:val="0"/>
          <w:bCs w:val="0"/>
          <w:color w:val="auto"/>
          <w:sz w:val="32"/>
          <w:szCs w:val="32"/>
          <w:u w:val="none"/>
        </w:rPr>
        <w:t>万元，住房保障支出</w:t>
      </w:r>
      <w:r>
        <w:rPr>
          <w:rFonts w:hint="eastAsia" w:ascii="仿宋" w:hAnsi="仿宋" w:eastAsia="仿宋" w:cs="仿宋"/>
          <w:b w:val="0"/>
          <w:bCs w:val="0"/>
          <w:color w:val="auto"/>
          <w:sz w:val="32"/>
          <w:szCs w:val="32"/>
          <w:u w:val="none"/>
          <w:lang w:val="en-US" w:eastAsia="zh-CN"/>
        </w:rPr>
        <w:t>54.54</w:t>
      </w:r>
      <w:r>
        <w:rPr>
          <w:rFonts w:hint="eastAsia" w:ascii="仿宋" w:hAnsi="仿宋" w:eastAsia="仿宋" w:cs="仿宋"/>
          <w:b w:val="0"/>
          <w:bCs w:val="0"/>
          <w:color w:val="auto"/>
          <w:sz w:val="32"/>
          <w:szCs w:val="32"/>
          <w:u w:val="none"/>
        </w:rPr>
        <w:t>万元</w:t>
      </w:r>
      <w:r>
        <w:rPr>
          <w:rFonts w:hint="eastAsia" w:ascii="仿宋" w:hAnsi="仿宋" w:eastAsia="仿宋" w:cs="仿宋"/>
          <w:color w:val="auto"/>
          <w:sz w:val="30"/>
          <w:szCs w:val="30"/>
          <w:lang w:val="en-US" w:eastAsia="zh-CN"/>
        </w:rPr>
        <w:t>。支出较去年减少162.24</w:t>
      </w:r>
      <w:r>
        <w:rPr>
          <w:rFonts w:hint="eastAsia" w:ascii="仿宋" w:hAnsi="仿宋" w:eastAsia="仿宋" w:cs="仿宋"/>
          <w:b w:val="0"/>
          <w:bCs w:val="0"/>
          <w:color w:val="auto"/>
          <w:sz w:val="30"/>
          <w:szCs w:val="30"/>
          <w:lang w:val="en-US" w:eastAsia="zh-CN"/>
        </w:rPr>
        <w:t>万元,</w:t>
      </w:r>
      <w:r>
        <w:rPr>
          <w:rFonts w:ascii="仿宋" w:hAnsi="仿宋" w:eastAsia="仿宋"/>
          <w:b w:val="0"/>
          <w:bCs w:val="0"/>
          <w:color w:val="auto"/>
          <w:sz w:val="32"/>
          <w:szCs w:val="32"/>
        </w:rPr>
        <w:t>主要</w:t>
      </w:r>
      <w:r>
        <w:rPr>
          <w:rFonts w:hint="eastAsia" w:ascii="仿宋" w:hAnsi="仿宋" w:eastAsia="仿宋"/>
          <w:b w:val="0"/>
          <w:bCs w:val="0"/>
          <w:color w:val="auto"/>
          <w:sz w:val="32"/>
          <w:szCs w:val="32"/>
          <w:lang w:val="en-US" w:eastAsia="zh-CN"/>
        </w:rPr>
        <w:t>是一般公共服务支出预算核减</w:t>
      </w:r>
      <w:r>
        <w:rPr>
          <w:rFonts w:ascii="仿宋" w:hAnsi="仿宋" w:eastAsia="仿宋"/>
          <w:b w:val="0"/>
          <w:bCs w:val="0"/>
          <w:color w:val="auto"/>
          <w:sz w:val="32"/>
          <w:szCs w:val="32"/>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righ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i w:val="0"/>
          <w:iCs w:val="0"/>
          <w:caps w:val="0"/>
          <w:color w:val="1E1E1E"/>
          <w:spacing w:val="0"/>
          <w:sz w:val="32"/>
          <w:szCs w:val="32"/>
          <w:shd w:val="clear" w:color="auto" w:fill="FFFFFF"/>
        </w:rPr>
        <w:t>（</w:t>
      </w:r>
      <w:r>
        <w:rPr>
          <w:rFonts w:hint="eastAsia" w:ascii="仿宋" w:hAnsi="仿宋" w:eastAsia="仿宋" w:cs="仿宋"/>
          <w:i w:val="0"/>
          <w:iCs w:val="0"/>
          <w:caps w:val="0"/>
          <w:color w:val="1E1E1E"/>
          <w:spacing w:val="0"/>
          <w:sz w:val="32"/>
          <w:szCs w:val="32"/>
          <w:shd w:val="clear" w:color="auto" w:fill="FFFFFF"/>
          <w:lang w:eastAsia="zh-CN"/>
        </w:rPr>
        <w:t>二</w:t>
      </w:r>
      <w:r>
        <w:rPr>
          <w:rFonts w:hint="eastAsia" w:ascii="仿宋" w:hAnsi="仿宋" w:eastAsia="仿宋" w:cs="仿宋"/>
          <w:i w:val="0"/>
          <w:iCs w:val="0"/>
          <w:caps w:val="0"/>
          <w:color w:val="1E1E1E"/>
          <w:spacing w:val="0"/>
          <w:sz w:val="32"/>
          <w:szCs w:val="32"/>
          <w:shd w:val="clear" w:color="auto" w:fill="FFFFFF"/>
        </w:rPr>
        <w:t>）基本支出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仿宋" w:hAnsi="仿宋" w:eastAsia="仿宋" w:cs="仿宋"/>
          <w:i w:val="0"/>
          <w:iCs w:val="0"/>
          <w:caps w:val="0"/>
          <w:color w:val="1E1E1E"/>
          <w:spacing w:val="0"/>
          <w:sz w:val="32"/>
          <w:szCs w:val="32"/>
          <w:shd w:val="clear" w:color="auto" w:fill="FFFFFF"/>
        </w:rPr>
      </w:pPr>
      <w:r>
        <w:rPr>
          <w:rFonts w:hint="eastAsia" w:ascii="仿宋" w:hAnsi="仿宋" w:eastAsia="仿宋" w:cs="仿宋"/>
          <w:i w:val="0"/>
          <w:iCs w:val="0"/>
          <w:caps w:val="0"/>
          <w:color w:val="1E1E1E"/>
          <w:spacing w:val="0"/>
          <w:sz w:val="32"/>
          <w:szCs w:val="32"/>
          <w:shd w:val="clear" w:color="auto" w:fill="FFFFFF"/>
        </w:rPr>
        <w:t>202</w:t>
      </w:r>
      <w:r>
        <w:rPr>
          <w:rFonts w:hint="eastAsia" w:ascii="仿宋" w:hAnsi="仿宋" w:eastAsia="仿宋" w:cs="仿宋"/>
          <w:i w:val="0"/>
          <w:iCs w:val="0"/>
          <w:caps w:val="0"/>
          <w:color w:val="1E1E1E"/>
          <w:spacing w:val="0"/>
          <w:sz w:val="32"/>
          <w:szCs w:val="32"/>
          <w:shd w:val="clear" w:color="auto" w:fill="FFFFFF"/>
          <w:lang w:val="en-US" w:eastAsia="zh-CN"/>
        </w:rPr>
        <w:t>4</w:t>
      </w:r>
      <w:r>
        <w:rPr>
          <w:rFonts w:hint="eastAsia" w:ascii="仿宋" w:hAnsi="仿宋" w:eastAsia="仿宋" w:cs="仿宋"/>
          <w:i w:val="0"/>
          <w:iCs w:val="0"/>
          <w:caps w:val="0"/>
          <w:color w:val="1E1E1E"/>
          <w:spacing w:val="0"/>
          <w:sz w:val="32"/>
          <w:szCs w:val="32"/>
          <w:shd w:val="clear" w:color="auto" w:fill="FFFFFF"/>
        </w:rPr>
        <w:t>年，基本支</w:t>
      </w:r>
      <w:r>
        <w:rPr>
          <w:rFonts w:hint="eastAsia" w:ascii="仿宋" w:hAnsi="仿宋" w:eastAsia="仿宋" w:cs="仿宋"/>
          <w:i w:val="0"/>
          <w:iCs w:val="0"/>
          <w:caps w:val="0"/>
          <w:color w:val="auto"/>
          <w:spacing w:val="0"/>
          <w:sz w:val="32"/>
          <w:szCs w:val="32"/>
          <w:shd w:val="clear" w:color="auto" w:fill="FFFFFF"/>
        </w:rPr>
        <w:t>出共计</w:t>
      </w:r>
      <w:r>
        <w:rPr>
          <w:rFonts w:hint="eastAsia" w:ascii="仿宋" w:hAnsi="仿宋" w:eastAsia="仿宋" w:cs="仿宋"/>
          <w:sz w:val="32"/>
          <w:szCs w:val="32"/>
          <w:highlight w:val="none"/>
          <w:lang w:val="en-US" w:eastAsia="zh-CN"/>
        </w:rPr>
        <w:t>1263.49</w:t>
      </w:r>
      <w:r>
        <w:rPr>
          <w:rFonts w:hint="eastAsia" w:ascii="仿宋" w:hAnsi="仿宋" w:eastAsia="仿宋" w:cs="仿宋"/>
          <w:i w:val="0"/>
          <w:iCs w:val="0"/>
          <w:caps w:val="0"/>
          <w:color w:val="auto"/>
          <w:spacing w:val="0"/>
          <w:sz w:val="32"/>
          <w:szCs w:val="32"/>
          <w:shd w:val="clear" w:color="auto" w:fill="FFFFFF"/>
        </w:rPr>
        <w:t>万</w:t>
      </w:r>
      <w:r>
        <w:rPr>
          <w:rFonts w:hint="eastAsia" w:ascii="仿宋" w:hAnsi="仿宋" w:eastAsia="仿宋" w:cs="仿宋"/>
          <w:i w:val="0"/>
          <w:iCs w:val="0"/>
          <w:caps w:val="0"/>
          <w:color w:val="1E1E1E"/>
          <w:spacing w:val="0"/>
          <w:sz w:val="32"/>
          <w:szCs w:val="32"/>
          <w:shd w:val="clear" w:color="auto" w:fill="FFFFFF"/>
        </w:rPr>
        <w:t>元，主要为人员经费和日常公用经费。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lang w:val="en-US" w:eastAsia="zh-CN"/>
        </w:rPr>
      </w:pPr>
      <w:r>
        <w:rPr>
          <w:rFonts w:hint="eastAsia" w:ascii="仿宋" w:hAnsi="仿宋" w:eastAsia="仿宋" w:cs="仿宋"/>
          <w:i w:val="0"/>
          <w:iCs w:val="0"/>
          <w:caps w:val="0"/>
          <w:color w:val="1E1E1E"/>
          <w:spacing w:val="0"/>
          <w:sz w:val="32"/>
          <w:szCs w:val="32"/>
          <w:shd w:val="clear" w:color="auto" w:fill="FFFFFF"/>
        </w:rPr>
        <w:t>基本支出人员经费用于在职人员工资、津贴补贴、奖金、退休费、社会保障缴费、住房公积金、抚恤金等，本单位人员经费支出严格按照相关政策标准列支。公用经费用于为保障本单位基本运行而发生的办公费、水电费、邮电费、物业管理费、差旅费、会议费、维修费、公务接待费、其他交通费用、公务用车运行维护费、工会经费、其他商品和服务支出经费等。公用经费支出过程中，严格执行单位财务制度，坚持厉行节约，控制运行成本。</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i w:val="0"/>
          <w:iCs w:val="0"/>
          <w:caps w:val="0"/>
          <w:color w:val="auto"/>
          <w:spacing w:val="0"/>
          <w:sz w:val="32"/>
          <w:szCs w:val="32"/>
          <w:shd w:val="clear" w:color="auto" w:fill="FFFFFF"/>
        </w:rPr>
        <w:t>“三公”经费年度预算金额为</w:t>
      </w:r>
      <w:r>
        <w:rPr>
          <w:rFonts w:hint="eastAsia" w:ascii="仿宋" w:hAnsi="仿宋" w:eastAsia="仿宋" w:cs="仿宋"/>
          <w:i w:val="0"/>
          <w:iCs w:val="0"/>
          <w:caps w:val="0"/>
          <w:color w:val="auto"/>
          <w:spacing w:val="0"/>
          <w:sz w:val="32"/>
          <w:szCs w:val="32"/>
          <w:shd w:val="clear" w:color="auto" w:fill="FFFFFF"/>
          <w:lang w:val="en-US" w:eastAsia="zh-CN"/>
        </w:rPr>
        <w:t>2</w:t>
      </w:r>
      <w:r>
        <w:rPr>
          <w:rFonts w:hint="eastAsia" w:ascii="仿宋" w:hAnsi="仿宋" w:eastAsia="仿宋" w:cs="仿宋"/>
          <w:i w:val="0"/>
          <w:iCs w:val="0"/>
          <w:caps w:val="0"/>
          <w:color w:val="auto"/>
          <w:spacing w:val="0"/>
          <w:sz w:val="32"/>
          <w:szCs w:val="32"/>
          <w:shd w:val="clear" w:color="auto" w:fill="FFFFFF"/>
        </w:rPr>
        <w:t>万元，实际支出</w:t>
      </w:r>
      <w:r>
        <w:rPr>
          <w:rFonts w:hint="eastAsia" w:ascii="仿宋" w:hAnsi="仿宋" w:eastAsia="仿宋" w:cs="仿宋"/>
          <w:color w:val="000000"/>
          <w:kern w:val="0"/>
          <w:sz w:val="32"/>
          <w:szCs w:val="32"/>
          <w:highlight w:val="none"/>
          <w:lang w:val="en-US" w:eastAsia="zh-CN" w:bidi="ar-SA"/>
        </w:rPr>
        <w:t>3.75</w:t>
      </w:r>
      <w:r>
        <w:rPr>
          <w:rFonts w:hint="eastAsia" w:ascii="仿宋" w:hAnsi="仿宋" w:eastAsia="仿宋" w:cs="仿宋"/>
          <w:i w:val="0"/>
          <w:iCs w:val="0"/>
          <w:caps w:val="0"/>
          <w:color w:val="auto"/>
          <w:spacing w:val="0"/>
          <w:sz w:val="32"/>
          <w:szCs w:val="32"/>
          <w:shd w:val="clear" w:color="auto" w:fill="FFFFFF"/>
        </w:rPr>
        <w:t>万元，全部为财政拨款资金。</w:t>
      </w:r>
      <w:r>
        <w:rPr>
          <w:rFonts w:hint="eastAsia" w:ascii="仿宋" w:hAnsi="仿宋" w:eastAsia="仿宋" w:cs="仿宋"/>
          <w:color w:val="000000"/>
          <w:kern w:val="0"/>
          <w:sz w:val="32"/>
          <w:szCs w:val="32"/>
          <w:highlight w:val="none"/>
          <w:lang w:val="en-US" w:eastAsia="zh-CN" w:bidi="ar-SA"/>
        </w:rPr>
        <w:t>增加的主要原因是跨年度支付三公经费。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eastAsia" w:ascii="仿宋" w:hAnsi="仿宋" w:eastAsia="仿宋" w:cs="仿宋"/>
          <w:i w:val="0"/>
          <w:iCs w:val="0"/>
          <w:caps w:val="0"/>
          <w:color w:val="auto"/>
          <w:spacing w:val="0"/>
          <w:sz w:val="32"/>
          <w:szCs w:val="32"/>
          <w:shd w:val="clear" w:color="auto" w:fill="FFFFFF"/>
        </w:rPr>
      </w:pP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三</w:t>
      </w:r>
      <w:r>
        <w:rPr>
          <w:rFonts w:hint="eastAsia" w:ascii="仿宋" w:hAnsi="仿宋" w:eastAsia="仿宋" w:cs="仿宋"/>
          <w:i w:val="0"/>
          <w:iCs w:val="0"/>
          <w:caps w:val="0"/>
          <w:color w:val="auto"/>
          <w:spacing w:val="0"/>
          <w:sz w:val="32"/>
          <w:szCs w:val="32"/>
          <w:shd w:val="clear" w:color="auto" w:fill="FFFFFF"/>
        </w:rPr>
        <w:t>）</w:t>
      </w:r>
      <w:r>
        <w:rPr>
          <w:rFonts w:hint="eastAsia" w:ascii="仿宋" w:hAnsi="仿宋" w:eastAsia="仿宋" w:cs="仿宋"/>
          <w:i w:val="0"/>
          <w:iCs w:val="0"/>
          <w:caps w:val="0"/>
          <w:color w:val="auto"/>
          <w:spacing w:val="0"/>
          <w:sz w:val="32"/>
          <w:szCs w:val="32"/>
          <w:shd w:val="clear" w:color="auto" w:fill="FFFFFF"/>
          <w:lang w:eastAsia="zh-CN"/>
        </w:rPr>
        <w:t>专项</w:t>
      </w:r>
      <w:r>
        <w:rPr>
          <w:rFonts w:hint="eastAsia" w:ascii="仿宋" w:hAnsi="仿宋" w:eastAsia="仿宋" w:cs="仿宋"/>
          <w:i w:val="0"/>
          <w:iCs w:val="0"/>
          <w:caps w:val="0"/>
          <w:color w:val="auto"/>
          <w:spacing w:val="0"/>
          <w:sz w:val="32"/>
          <w:szCs w:val="32"/>
          <w:shd w:val="clear" w:color="auto" w:fill="FFFFFF"/>
        </w:rPr>
        <w:t>支出</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640" w:lineRule="exact"/>
        <w:ind w:left="0" w:right="0" w:firstLine="640" w:firstLineChars="200"/>
        <w:jc w:val="both"/>
        <w:textAlignment w:val="auto"/>
        <w:rPr>
          <w:rFonts w:hint="eastAsia" w:ascii="仿宋" w:hAnsi="仿宋" w:eastAsia="仿宋" w:cs="仿宋"/>
          <w:i w:val="0"/>
          <w:iCs w:val="0"/>
          <w:caps w:val="0"/>
          <w:color w:val="FF0000"/>
          <w:spacing w:val="0"/>
          <w:sz w:val="32"/>
          <w:szCs w:val="32"/>
          <w:shd w:val="clear" w:color="auto" w:fill="FFFFFF"/>
          <w:lang w:val="en-US" w:eastAsia="zh-CN"/>
        </w:rPr>
      </w:pPr>
      <w:r>
        <w:rPr>
          <w:rFonts w:hint="eastAsia" w:ascii="仿宋" w:hAnsi="仿宋" w:eastAsia="仿宋" w:cs="仿宋"/>
          <w:kern w:val="2"/>
          <w:sz w:val="32"/>
          <w:szCs w:val="32"/>
          <w:lang w:val="en-US" w:eastAsia="zh-CN" w:bidi="ar"/>
        </w:rPr>
        <w:t>我单位所有的专项支出都属于单位的日常工作经费，没有需要招投标的项目。</w:t>
      </w:r>
    </w:p>
    <w:p>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三、资产管理情况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150" w:right="0" w:firstLine="640"/>
        <w:jc w:val="both"/>
        <w:textAlignment w:val="auto"/>
        <w:rPr>
          <w:rFonts w:hint="default" w:ascii="仿宋" w:hAnsi="仿宋" w:eastAsia="仿宋" w:cs="仿宋"/>
          <w:i w:val="0"/>
          <w:iCs w:val="0"/>
          <w:caps w:val="0"/>
          <w:color w:val="FF0000"/>
          <w:spacing w:val="0"/>
          <w:sz w:val="32"/>
          <w:szCs w:val="32"/>
          <w:shd w:val="clear" w:color="auto" w:fill="FFFFFF"/>
        </w:rPr>
      </w:pPr>
      <w:r>
        <w:rPr>
          <w:rFonts w:hint="default" w:ascii="仿宋" w:hAnsi="仿宋" w:eastAsia="仿宋" w:cs="仿宋"/>
          <w:i w:val="0"/>
          <w:iCs w:val="0"/>
          <w:caps w:val="0"/>
          <w:color w:val="auto"/>
          <w:spacing w:val="0"/>
          <w:sz w:val="32"/>
          <w:szCs w:val="32"/>
          <w:shd w:val="clear" w:color="auto" w:fill="FFFFFF"/>
        </w:rPr>
        <w:t>截止202</w:t>
      </w:r>
      <w:r>
        <w:rPr>
          <w:rFonts w:hint="eastAsia" w:ascii="仿宋" w:hAnsi="仿宋" w:eastAsia="仿宋" w:cs="仿宋"/>
          <w:i w:val="0"/>
          <w:iCs w:val="0"/>
          <w:caps w:val="0"/>
          <w:color w:val="auto"/>
          <w:spacing w:val="0"/>
          <w:sz w:val="32"/>
          <w:szCs w:val="32"/>
          <w:shd w:val="clear" w:color="auto" w:fill="FFFFFF"/>
          <w:lang w:val="en-US" w:eastAsia="zh-CN"/>
        </w:rPr>
        <w:t>4</w:t>
      </w:r>
      <w:r>
        <w:rPr>
          <w:rFonts w:hint="default" w:ascii="仿宋" w:hAnsi="仿宋" w:eastAsia="仿宋" w:cs="仿宋"/>
          <w:i w:val="0"/>
          <w:iCs w:val="0"/>
          <w:caps w:val="0"/>
          <w:color w:val="auto"/>
          <w:spacing w:val="0"/>
          <w:sz w:val="32"/>
          <w:szCs w:val="32"/>
          <w:shd w:val="clear" w:color="auto" w:fill="FFFFFF"/>
        </w:rPr>
        <w:t>年12月31日，本单位固定资产原值</w:t>
      </w:r>
      <w:r>
        <w:rPr>
          <w:rFonts w:hint="eastAsia" w:ascii="仿宋" w:hAnsi="仿宋" w:eastAsia="仿宋" w:cs="仿宋"/>
          <w:i w:val="0"/>
          <w:iCs w:val="0"/>
          <w:caps w:val="0"/>
          <w:color w:val="auto"/>
          <w:spacing w:val="0"/>
          <w:sz w:val="32"/>
          <w:szCs w:val="32"/>
          <w:shd w:val="clear" w:color="auto" w:fill="FFFFFF"/>
          <w:lang w:val="en-US" w:eastAsia="zh-CN"/>
        </w:rPr>
        <w:t>141.45</w:t>
      </w:r>
      <w:r>
        <w:rPr>
          <w:rFonts w:hint="default" w:ascii="仿宋" w:hAnsi="仿宋" w:eastAsia="仿宋" w:cs="仿宋"/>
          <w:i w:val="0"/>
          <w:iCs w:val="0"/>
          <w:caps w:val="0"/>
          <w:color w:val="auto"/>
          <w:spacing w:val="0"/>
          <w:sz w:val="32"/>
          <w:szCs w:val="32"/>
          <w:shd w:val="clear" w:color="auto" w:fill="FFFFFF"/>
        </w:rPr>
        <w:t>万元，固定资产累计折旧</w:t>
      </w:r>
      <w:r>
        <w:rPr>
          <w:rFonts w:hint="eastAsia" w:ascii="仿宋" w:hAnsi="仿宋" w:eastAsia="仿宋" w:cs="仿宋"/>
          <w:i w:val="0"/>
          <w:iCs w:val="0"/>
          <w:caps w:val="0"/>
          <w:color w:val="auto"/>
          <w:spacing w:val="0"/>
          <w:sz w:val="32"/>
          <w:szCs w:val="32"/>
          <w:shd w:val="clear" w:color="auto" w:fill="FFFFFF"/>
          <w:lang w:val="en-US" w:eastAsia="zh-CN"/>
        </w:rPr>
        <w:t>119.14</w:t>
      </w:r>
      <w:r>
        <w:rPr>
          <w:rFonts w:hint="default" w:ascii="仿宋" w:hAnsi="仿宋" w:eastAsia="仿宋" w:cs="仿宋"/>
          <w:i w:val="0"/>
          <w:iCs w:val="0"/>
          <w:caps w:val="0"/>
          <w:color w:val="auto"/>
          <w:spacing w:val="0"/>
          <w:sz w:val="32"/>
          <w:szCs w:val="32"/>
          <w:shd w:val="clear" w:color="auto" w:fill="FFFFFF"/>
        </w:rPr>
        <w:t>万元，固定资产账面净值</w:t>
      </w:r>
      <w:r>
        <w:rPr>
          <w:rFonts w:hint="eastAsia" w:ascii="仿宋" w:hAnsi="仿宋" w:eastAsia="仿宋" w:cs="仿宋"/>
          <w:i w:val="0"/>
          <w:iCs w:val="0"/>
          <w:caps w:val="0"/>
          <w:color w:val="auto"/>
          <w:spacing w:val="0"/>
          <w:sz w:val="32"/>
          <w:szCs w:val="32"/>
          <w:shd w:val="clear" w:color="auto" w:fill="FFFFFF"/>
          <w:lang w:val="en-US" w:eastAsia="zh-CN"/>
        </w:rPr>
        <w:t>22.31</w:t>
      </w:r>
      <w:r>
        <w:rPr>
          <w:rFonts w:hint="default" w:ascii="仿宋" w:hAnsi="仿宋" w:eastAsia="仿宋" w:cs="仿宋"/>
          <w:i w:val="0"/>
          <w:iCs w:val="0"/>
          <w:caps w:val="0"/>
          <w:color w:val="auto"/>
          <w:spacing w:val="0"/>
          <w:sz w:val="32"/>
          <w:szCs w:val="32"/>
          <w:shd w:val="clear" w:color="auto" w:fill="FFFFFF"/>
        </w:rPr>
        <w:t>万元。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640" w:lineRule="exact"/>
        <w:ind w:left="0" w:right="0" w:firstLine="640"/>
        <w:jc w:val="both"/>
        <w:textAlignment w:val="auto"/>
        <w:rPr>
          <w:rFonts w:hint="default" w:ascii="仿宋" w:hAnsi="仿宋" w:eastAsia="仿宋" w:cs="仿宋"/>
          <w:i w:val="0"/>
          <w:iCs w:val="0"/>
          <w:caps w:val="0"/>
          <w:color w:val="1E1E1E"/>
          <w:spacing w:val="0"/>
          <w:sz w:val="32"/>
          <w:szCs w:val="32"/>
          <w:shd w:val="clear" w:color="auto" w:fill="FFFFFF"/>
        </w:rPr>
      </w:pPr>
      <w:r>
        <w:rPr>
          <w:rFonts w:hint="default" w:ascii="仿宋" w:hAnsi="仿宋" w:eastAsia="仿宋" w:cs="仿宋"/>
          <w:i w:val="0"/>
          <w:iCs w:val="0"/>
          <w:caps w:val="0"/>
          <w:color w:val="1E1E1E"/>
          <w:spacing w:val="0"/>
          <w:sz w:val="32"/>
          <w:szCs w:val="32"/>
          <w:shd w:val="clear" w:color="auto" w:fill="FFFFFF"/>
        </w:rPr>
        <w:t>年初编制预算时，本单位根据各部门的需求申报资产配置预算，按流程审批后经资产管理系统报</w:t>
      </w:r>
      <w:r>
        <w:rPr>
          <w:rFonts w:hint="eastAsia" w:ascii="仿宋" w:hAnsi="仿宋" w:eastAsia="仿宋" w:cs="仿宋"/>
          <w:i w:val="0"/>
          <w:iCs w:val="0"/>
          <w:caps w:val="0"/>
          <w:color w:val="1E1E1E"/>
          <w:spacing w:val="0"/>
          <w:sz w:val="32"/>
          <w:szCs w:val="32"/>
          <w:shd w:val="clear" w:color="auto" w:fill="FFFFFF"/>
          <w:lang w:eastAsia="zh-CN"/>
        </w:rPr>
        <w:t>县</w:t>
      </w:r>
      <w:r>
        <w:rPr>
          <w:rFonts w:hint="default" w:ascii="仿宋" w:hAnsi="仿宋" w:eastAsia="仿宋" w:cs="仿宋"/>
          <w:i w:val="0"/>
          <w:iCs w:val="0"/>
          <w:caps w:val="0"/>
          <w:color w:val="1E1E1E"/>
          <w:spacing w:val="0"/>
          <w:sz w:val="32"/>
          <w:szCs w:val="32"/>
          <w:shd w:val="clear" w:color="auto" w:fill="FFFFFF"/>
        </w:rPr>
        <w:t>财政局。本单位按照年初财政批复的资产配置计划，在预算资金范围内实施资产采购。本单位印发了《固定资产管理制度》，明确了各部门的责任，对单位公共财产物资实行统一管理、统一调配，并按使用人建立了资产实物管理台账。对固定资产及时登记，科学使用，固定资产的保管实行责任制管理，固定资产的调出、处置、报废等均严格执行国家有关规定的审批程序办理。</w:t>
      </w:r>
    </w:p>
    <w:p>
      <w:pPr>
        <w:keepNext w:val="0"/>
        <w:keepLines w:val="0"/>
        <w:pageBreakBefore w:val="0"/>
        <w:numPr>
          <w:ilvl w:val="0"/>
          <w:numId w:val="2"/>
        </w:numPr>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sz w:val="32"/>
          <w:szCs w:val="32"/>
        </w:rPr>
        <w:t>政府性基金预算支出情况</w:t>
      </w:r>
    </w:p>
    <w:p>
      <w:pPr>
        <w:pStyle w:val="3"/>
        <w:keepNext w:val="0"/>
        <w:keepLines w:val="0"/>
        <w:pageBreakBefore w:val="0"/>
        <w:kinsoku/>
        <w:wordWrap/>
        <w:overflowPunct/>
        <w:topLinePunct w:val="0"/>
        <w:autoSpaceDE/>
        <w:autoSpaceDN/>
        <w:bidi w:val="0"/>
        <w:spacing w:line="640" w:lineRule="exact"/>
        <w:textAlignment w:val="auto"/>
        <w:rPr>
          <w:rFonts w:hint="eastAsia" w:eastAsia="仿宋"/>
          <w:b w:val="0"/>
          <w:bCs w:val="0"/>
          <w:lang w:val="en-US" w:eastAsia="zh-CN"/>
        </w:rPr>
      </w:pPr>
      <w:r>
        <w:rPr>
          <w:rFonts w:hint="eastAsia" w:ascii="仿宋" w:hAnsi="仿宋" w:eastAsia="仿宋" w:cs="仿宋"/>
          <w:b w:val="0"/>
          <w:bCs w:val="0"/>
          <w:sz w:val="32"/>
          <w:szCs w:val="32"/>
          <w:lang w:val="en-US" w:eastAsia="zh-CN"/>
        </w:rPr>
        <w:t>无</w:t>
      </w:r>
    </w:p>
    <w:p>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五、国有资本经营预算支出情况</w:t>
      </w:r>
    </w:p>
    <w:p>
      <w:pPr>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六、社会保险基金预算支出情况</w:t>
      </w:r>
    </w:p>
    <w:p>
      <w:pPr>
        <w:keepNext w:val="0"/>
        <w:keepLines w:val="0"/>
        <w:pageBreakBefore w:val="0"/>
        <w:kinsoku/>
        <w:wordWrap/>
        <w:overflowPunct/>
        <w:topLinePunct w:val="0"/>
        <w:autoSpaceDE/>
        <w:autoSpaceDN/>
        <w:bidi w:val="0"/>
        <w:adjustRightInd w:val="0"/>
        <w:snapToGrid w:val="0"/>
        <w:spacing w:line="64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无</w:t>
      </w:r>
    </w:p>
    <w:p>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七、部门整体支出主要绩效</w:t>
      </w:r>
    </w:p>
    <w:p>
      <w:pPr>
        <w:keepNext w:val="0"/>
        <w:keepLines w:val="0"/>
        <w:pageBreakBefore w:val="0"/>
        <w:widowControl w:val="0"/>
        <w:tabs>
          <w:tab w:val="left" w:pos="984"/>
        </w:tabs>
        <w:kinsoku/>
        <w:wordWrap/>
        <w:overflowPunct/>
        <w:topLinePunct w:val="0"/>
        <w:autoSpaceDE/>
        <w:autoSpaceDN/>
        <w:bidi w:val="0"/>
        <w:adjustRightInd/>
        <w:snapToGrid/>
        <w:spacing w:line="640" w:lineRule="exact"/>
        <w:ind w:left="147" w:firstLine="640" w:firstLineChars="200"/>
        <w:textAlignment w:val="auto"/>
        <w:rPr>
          <w:rFonts w:hint="eastAsia" w:ascii="仿宋" w:hAnsi="仿宋" w:eastAsia="仿宋" w:cs="仿宋"/>
          <w:i w:val="0"/>
          <w:iCs w:val="0"/>
          <w:caps w:val="0"/>
          <w:color w:val="1E1E1E"/>
          <w:spacing w:val="0"/>
          <w:kern w:val="0"/>
          <w:sz w:val="32"/>
          <w:szCs w:val="32"/>
          <w:shd w:val="clear" w:color="auto" w:fill="FFFFFF"/>
          <w:lang w:val="en-US" w:eastAsia="zh-CN" w:bidi="ar-SA"/>
        </w:rPr>
      </w:pPr>
      <w:r>
        <w:rPr>
          <w:rFonts w:hint="eastAsia" w:ascii="仿宋" w:hAnsi="仿宋" w:eastAsia="仿宋" w:cs="仿宋"/>
          <w:i w:val="0"/>
          <w:iCs w:val="0"/>
          <w:caps w:val="0"/>
          <w:color w:val="1E1E1E"/>
          <w:spacing w:val="0"/>
          <w:kern w:val="0"/>
          <w:sz w:val="32"/>
          <w:szCs w:val="32"/>
          <w:shd w:val="clear" w:color="auto" w:fill="FFFFFF"/>
          <w:lang w:val="en-US" w:eastAsia="zh-CN" w:bidi="ar-SA"/>
        </w:rPr>
        <w:t>2024年，新邵县人大常委会坚持以习近平新时代中国特色社会主义思想为指导，深入学习贯彻党的二十大、二十届三中全会精神和习近平总书记考察湖南的重要讲话指示，贯彻习近平法治思想、习近平总书记关于坚持和完善人民代表大会制度的重要思想,认真履行宪法和法律赋予的各项职权，践行以人民为中心的思想，依法履职尽责，较好地发挥了地方国家权力机关的作用，确保中央及省、市、县委的各项决策部署在新邵人大系统得到贯彻实施。截止目前，今年共召开人大常委会议8次，主任会议9次，视察、调研23次，听取和审议“一府一委两院”工作报告12项</w:t>
      </w:r>
      <w:r>
        <w:rPr>
          <w:rFonts w:hint="eastAsia" w:ascii="仿宋" w:hAnsi="仿宋" w:eastAsia="仿宋" w:cs="仿宋"/>
          <w:i w:val="0"/>
          <w:iCs w:val="0"/>
          <w:caps w:val="0"/>
          <w:color w:val="auto"/>
          <w:spacing w:val="0"/>
          <w:kern w:val="0"/>
          <w:sz w:val="32"/>
          <w:szCs w:val="32"/>
          <w:shd w:val="clear" w:color="auto" w:fill="FFFFFF"/>
          <w:lang w:val="en-US" w:eastAsia="zh-CN" w:bidi="ar-SA"/>
        </w:rPr>
        <w:t>，作出相关决议决定8项，为促进新邵各项工作开展作出了相应的贡献</w:t>
      </w:r>
      <w:r>
        <w:rPr>
          <w:rFonts w:hint="eastAsia" w:ascii="仿宋" w:hAnsi="仿宋" w:eastAsia="仿宋" w:cs="仿宋"/>
          <w:i w:val="0"/>
          <w:iCs w:val="0"/>
          <w:caps w:val="0"/>
          <w:color w:val="1E1E1E"/>
          <w:spacing w:val="0"/>
          <w:kern w:val="0"/>
          <w:sz w:val="32"/>
          <w:szCs w:val="32"/>
          <w:shd w:val="clear" w:color="auto" w:fill="FFFFFF"/>
          <w:lang w:val="en-US" w:eastAsia="zh-CN" w:bidi="ar-SA"/>
        </w:rPr>
        <w:t>。</w:t>
      </w:r>
    </w:p>
    <w:p>
      <w:pPr>
        <w:keepNext w:val="0"/>
        <w:keepLines w:val="0"/>
        <w:pageBreakBefore w:val="0"/>
        <w:widowControl w:val="0"/>
        <w:tabs>
          <w:tab w:val="left" w:pos="984"/>
        </w:tabs>
        <w:kinsoku/>
        <w:wordWrap/>
        <w:overflowPunct/>
        <w:topLinePunct w:val="0"/>
        <w:autoSpaceDE/>
        <w:autoSpaceDN/>
        <w:bidi w:val="0"/>
        <w:adjustRightInd/>
        <w:snapToGrid/>
        <w:spacing w:line="640" w:lineRule="exact"/>
        <w:ind w:left="147" w:firstLine="640" w:firstLineChars="200"/>
        <w:textAlignment w:val="auto"/>
        <w:rPr>
          <w:rFonts w:hint="eastAsia" w:ascii="仿宋" w:hAnsi="仿宋" w:eastAsia="仿宋" w:cs="仿宋"/>
          <w:i w:val="0"/>
          <w:iCs w:val="0"/>
          <w:caps w:val="0"/>
          <w:color w:val="1E1E1E"/>
          <w:spacing w:val="0"/>
          <w:kern w:val="0"/>
          <w:sz w:val="32"/>
          <w:szCs w:val="32"/>
          <w:shd w:val="clear" w:color="auto" w:fill="FFFFFF"/>
          <w:lang w:val="en-US" w:eastAsia="zh-CN" w:bidi="ar-SA"/>
        </w:rPr>
      </w:pPr>
      <w:r>
        <w:rPr>
          <w:rFonts w:hint="eastAsia" w:ascii="仿宋" w:hAnsi="仿宋" w:eastAsia="仿宋" w:cs="仿宋"/>
          <w:i w:val="0"/>
          <w:iCs w:val="0"/>
          <w:caps w:val="0"/>
          <w:color w:val="1E1E1E"/>
          <w:spacing w:val="0"/>
          <w:kern w:val="0"/>
          <w:sz w:val="32"/>
          <w:szCs w:val="32"/>
          <w:shd w:val="clear" w:color="auto" w:fill="FFFFFF"/>
          <w:lang w:val="en-US" w:eastAsia="zh-CN" w:bidi="ar-SA"/>
        </w:rPr>
        <w:t>强化代表联系群众能力建设。新邵县人大常委会系统推进人大代表联络站的建设，指导乡镇人大建设好网上人大代表联络站71个，并加强人大代表联络站的建管用，全县15个乡镇均建设了乡镇联络站和村（社区）联络站，所有联络站按照代表逢6进站要求，规范化运行。在新邵县严塘镇白水洞片区人大代表联络站举行了湖南省、邵阳市示范性人大代表联络站授牌活动，引导人大代表利用联络站平台积极参与到乡村社会治理当中去。每年组织省市县三级人大代表围绕全县中心工作或社会普遍关注的产业发展、安全生产、乡村振兴等领域开展专题视察活动，促进代表多层次、多元化地深入基层，搞调研、听民声、访民意，积极反映群众的呼声，发挥好代表的桥梁纽带作用。</w:t>
      </w:r>
    </w:p>
    <w:p>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八、存在的问题</w:t>
      </w:r>
    </w:p>
    <w:p>
      <w:pPr>
        <w:adjustRightInd w:val="0"/>
        <w:snapToGrid w:val="0"/>
        <w:spacing w:line="480" w:lineRule="exact"/>
        <w:ind w:firstLine="640" w:firstLineChars="200"/>
        <w:outlineLvl w:val="0"/>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t>（一）部门预算专项绩效目标设置的科学性和有效性仍有待提升。</w:t>
      </w:r>
    </w:p>
    <w:p>
      <w:pPr>
        <w:adjustRightInd w:val="0"/>
        <w:snapToGrid w:val="0"/>
        <w:spacing w:line="480" w:lineRule="exact"/>
        <w:ind w:firstLine="640" w:firstLineChars="200"/>
        <w:outlineLvl w:val="0"/>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pPr>
      <w:r>
        <w:rPr>
          <w:rFonts w:hint="eastAsia" w:ascii="仿宋" w:hAnsi="仿宋" w:eastAsia="仿宋" w:cs="仿宋"/>
          <w:i w:val="0"/>
          <w:iCs w:val="0"/>
          <w:caps w:val="0"/>
          <w:color w:val="1E1E1E"/>
          <w:spacing w:val="0"/>
          <w:kern w:val="0"/>
          <w:sz w:val="32"/>
          <w:szCs w:val="32"/>
          <w:highlight w:val="none"/>
          <w:shd w:val="clear" w:color="auto" w:fill="FFFFFF"/>
          <w:lang w:val="en-US" w:eastAsia="zh-CN" w:bidi="ar"/>
        </w:rPr>
        <w:t>（二）由于预算绩效管理工作涉及面广，专业性强，开展绩效自评的能力还有一定欠缺，人员素质有待进一步提高。</w:t>
      </w:r>
    </w:p>
    <w:p>
      <w:pPr>
        <w:keepNext w:val="0"/>
        <w:keepLines w:val="0"/>
        <w:pageBreakBefore w:val="0"/>
        <w:kinsoku/>
        <w:wordWrap/>
        <w:overflowPunct/>
        <w:topLinePunct w:val="0"/>
        <w:autoSpaceDE/>
        <w:autoSpaceDN/>
        <w:bidi w:val="0"/>
        <w:adjustRightInd w:val="0"/>
        <w:snapToGrid w:val="0"/>
        <w:spacing w:line="6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九、改进措施和有关建议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iCs w:val="0"/>
          <w:caps w:val="0"/>
          <w:color w:val="1E1E1E"/>
          <w:spacing w:val="0"/>
          <w:sz w:val="32"/>
          <w:szCs w:val="32"/>
          <w:highlight w:val="none"/>
          <w:shd w:val="clear" w:color="auto" w:fill="FFFFFF"/>
          <w:lang w:eastAsia="zh-CN"/>
        </w:rPr>
      </w:pPr>
      <w:r>
        <w:rPr>
          <w:rFonts w:hint="eastAsia" w:ascii="仿宋" w:hAnsi="仿宋" w:eastAsia="仿宋" w:cs="仿宋"/>
          <w:i w:val="0"/>
          <w:iCs w:val="0"/>
          <w:caps w:val="0"/>
          <w:color w:val="1E1E1E"/>
          <w:spacing w:val="0"/>
          <w:sz w:val="32"/>
          <w:szCs w:val="32"/>
          <w:highlight w:val="none"/>
          <w:shd w:val="clear" w:color="auto" w:fill="FFFFFF"/>
          <w:lang w:eastAsia="zh-CN"/>
        </w:rPr>
        <w:t>（一）根据年度工作计划，认真分析本单位可预见的工作任务，进一步细化和量化部门预算专项绩效目标，在项目实施过程中，及时纠正与绩效目标间的偏差，不断提升部门预算专项绩效目标设置的科学性和有效性。</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 w:hAnsi="仿宋" w:eastAsia="仿宋" w:cs="仿宋"/>
          <w:i w:val="0"/>
          <w:iCs w:val="0"/>
          <w:caps w:val="0"/>
          <w:color w:val="1E1E1E"/>
          <w:spacing w:val="0"/>
          <w:sz w:val="32"/>
          <w:szCs w:val="32"/>
          <w:highlight w:val="none"/>
          <w:shd w:val="clear" w:color="auto" w:fill="FFFFFF"/>
          <w:lang w:val="en-US" w:eastAsia="zh-CN"/>
        </w:rPr>
      </w:pPr>
      <w:r>
        <w:rPr>
          <w:rFonts w:hint="eastAsia" w:ascii="仿宋" w:hAnsi="仿宋" w:eastAsia="仿宋" w:cs="仿宋"/>
          <w:i w:val="0"/>
          <w:iCs w:val="0"/>
          <w:caps w:val="0"/>
          <w:color w:val="1E1E1E"/>
          <w:spacing w:val="0"/>
          <w:sz w:val="32"/>
          <w:szCs w:val="32"/>
          <w:highlight w:val="none"/>
          <w:shd w:val="clear" w:color="auto" w:fill="FFFFFF"/>
          <w:lang w:eastAsia="zh-CN"/>
        </w:rPr>
        <w:t>（二）严格执行预算，合理安排资金支出</w:t>
      </w:r>
      <w:r>
        <w:rPr>
          <w:rFonts w:hint="eastAsia" w:ascii="仿宋" w:hAnsi="仿宋" w:eastAsia="仿宋" w:cs="仿宋"/>
          <w:i w:val="0"/>
          <w:iCs w:val="0"/>
          <w:caps w:val="0"/>
          <w:color w:val="1E1E1E"/>
          <w:spacing w:val="0"/>
          <w:sz w:val="32"/>
          <w:szCs w:val="32"/>
          <w:highlight w:val="none"/>
          <w:shd w:val="clear" w:color="auto" w:fill="FFFFFF"/>
          <w:lang w:val="en-US" w:eastAsia="zh-CN"/>
        </w:rPr>
        <w:t xml:space="preserve"> ，增强预算执行的规范性和严肃性，定期做好预算执行分析，及时了解预算执行差异，合理调整、纠正预算执行偏差，加快预算的执行进度，切实提高预算完成率及资金使用效益。</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rPr>
      </w:pPr>
      <w:r>
        <w:rPr>
          <w:rFonts w:hint="eastAsia" w:ascii="仿宋" w:hAnsi="仿宋" w:eastAsia="仿宋" w:cs="仿宋"/>
          <w:i w:val="0"/>
          <w:iCs w:val="0"/>
          <w:caps w:val="0"/>
          <w:color w:val="1E1E1E"/>
          <w:spacing w:val="0"/>
          <w:sz w:val="32"/>
          <w:szCs w:val="32"/>
          <w:highlight w:val="none"/>
          <w:shd w:val="clear" w:color="auto" w:fill="FFFFFF"/>
          <w:lang w:val="en-US" w:eastAsia="zh-CN"/>
        </w:rPr>
        <w:t>（三）</w:t>
      </w:r>
      <w:r>
        <w:rPr>
          <w:rFonts w:hint="eastAsia" w:ascii="仿宋" w:hAnsi="仿宋" w:eastAsia="仿宋" w:cs="仿宋"/>
          <w:b w:val="0"/>
          <w:bCs w:val="0"/>
          <w:color w:val="000000"/>
          <w:sz w:val="32"/>
          <w:szCs w:val="32"/>
          <w:lang w:val="en-US" w:eastAsia="zh-CN"/>
        </w:rPr>
        <w:t>加强财务人员培训，提高绩效评价质量，</w:t>
      </w:r>
      <w:r>
        <w:rPr>
          <w:rFonts w:hint="eastAsia" w:ascii="仿宋" w:hAnsi="仿宋" w:eastAsia="仿宋" w:cs="仿宋"/>
          <w:b w:val="0"/>
          <w:bCs w:val="0"/>
          <w:color w:val="000000"/>
          <w:sz w:val="32"/>
          <w:szCs w:val="32"/>
          <w:lang w:eastAsia="zh-CN"/>
        </w:rPr>
        <w:t>切实使绩效管理渗透到项目资金运用的各个环节，</w:t>
      </w:r>
      <w:r>
        <w:rPr>
          <w:rFonts w:hint="eastAsia" w:ascii="仿宋" w:hAnsi="仿宋" w:eastAsia="仿宋" w:cs="仿宋"/>
          <w:b w:val="0"/>
          <w:bCs w:val="0"/>
          <w:color w:val="000000"/>
          <w:sz w:val="32"/>
          <w:szCs w:val="32"/>
          <w:lang w:val="en-US" w:eastAsia="zh-CN"/>
        </w:rPr>
        <w:t>进一步加大绩效评价成果运用力度，同时</w:t>
      </w:r>
      <w:r>
        <w:rPr>
          <w:rFonts w:hint="eastAsia" w:ascii="仿宋" w:hAnsi="仿宋" w:eastAsia="仿宋" w:cs="仿宋"/>
          <w:b w:val="0"/>
          <w:bCs w:val="0"/>
          <w:color w:val="000000"/>
          <w:sz w:val="32"/>
          <w:szCs w:val="32"/>
          <w:lang w:eastAsia="zh-CN"/>
        </w:rPr>
        <w:t>提高资金使用效率，提高单位预算绩效管理业务水平。</w:t>
      </w:r>
    </w:p>
    <w:sectPr>
      <w:headerReference r:id="rId5" w:type="default"/>
      <w:footerReference r:id="rId6" w:type="default"/>
      <w:pgSz w:w="11906" w:h="16838"/>
      <w:pgMar w:top="851" w:right="1531" w:bottom="737" w:left="1531" w:header="851" w:footer="992" w:gutter="0"/>
      <w:pgNumType w:fmt="numberInDash"/>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hanging="315"/>
      </w:pPr>
      <w:r>
        <w:separator/>
      </w:r>
    </w:p>
  </w:endnote>
  <w:endnote w:type="continuationSeparator" w:id="1">
    <w:p>
      <w:pPr>
        <w:spacing w:line="240" w:lineRule="auto"/>
        <w:ind w:hanging="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70" w:hanging="27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4572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0500" cy="457200"/>
                      </a:xfrm>
                      <a:prstGeom prst="rect">
                        <a:avLst/>
                      </a:prstGeom>
                      <a:noFill/>
                      <a:ln>
                        <a:noFill/>
                      </a:ln>
                    </wps:spPr>
                    <wps:txbx>
                      <w:txbxContent>
                        <w:p>
                          <w:pPr>
                            <w:pStyle w:val="5"/>
                            <w:ind w:left="270" w:hanging="270"/>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6pt;width:15pt;mso-position-horizontal:center;mso-position-horizontal-relative:margin;mso-wrap-style:none;z-index:251659264;mso-width-relative:page;mso-height-relative:page;" filled="f" stroked="f" coordsize="21600,21600" o:gfxdata="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BA3oHhzwAAAAMBAAAPAAAAAAAA&#10;AAEAIAAAADgAAABkcnMvZG93bnJldi54bWxQSwECFAAUAAAACACHTuJA9ldxoswBAACXAwAADgAA&#10;AAAAAAABACAAAAA0AQAAZHJzL2Uyb0RvYy54bWxQSwUGAAAAAAYABgBZAQAAcgUAAAAA&#10;">
              <v:fill on="f" focussize="0,0"/>
              <v:stroke on="f"/>
              <v:imagedata o:title=""/>
              <o:lock v:ext="edit" aspectratio="f"/>
              <v:textbox inset="0mm,0mm,0mm,0mm" style="mso-fit-shape-to-text:t;">
                <w:txbxContent>
                  <w:p>
                    <w:pPr>
                      <w:pStyle w:val="5"/>
                      <w:ind w:left="270" w:hanging="27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hanging="315"/>
      </w:pPr>
      <w:r>
        <w:separator/>
      </w:r>
    </w:p>
  </w:footnote>
  <w:footnote w:type="continuationSeparator" w:id="1">
    <w:p>
      <w:pPr>
        <w:spacing w:line="240" w:lineRule="auto"/>
        <w:ind w:hanging="31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796A17"/>
    <w:multiLevelType w:val="singleLevel"/>
    <w:tmpl w:val="21796A17"/>
    <w:lvl w:ilvl="0" w:tentative="0">
      <w:start w:val="1"/>
      <w:numFmt w:val="chineseCounting"/>
      <w:suff w:val="nothing"/>
      <w:lvlText w:val="%1、"/>
      <w:lvlJc w:val="left"/>
      <w:rPr>
        <w:rFonts w:hint="eastAsia"/>
      </w:rPr>
    </w:lvl>
  </w:abstractNum>
  <w:abstractNum w:abstractNumId="1">
    <w:nsid w:val="2FCB6FC7"/>
    <w:multiLevelType w:val="singleLevel"/>
    <w:tmpl w:val="2FCB6FC7"/>
    <w:lvl w:ilvl="0" w:tentative="0">
      <w:start w:val="4"/>
      <w:numFmt w:val="chineseCounting"/>
      <w:suff w:val="nothing"/>
      <w:lvlText w:val="%1、"/>
      <w:lvlJc w:val="left"/>
      <w:rPr>
        <w:rFonts w:hint="eastAsia"/>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FC64B4"/>
    <w:rsid w:val="19553A9D"/>
    <w:rsid w:val="1DB066A2"/>
    <w:rsid w:val="23931F66"/>
    <w:rsid w:val="31175F84"/>
    <w:rsid w:val="42CE63DA"/>
    <w:rsid w:val="5F5E63F1"/>
    <w:rsid w:val="73FC64B4"/>
    <w:rsid w:val="761A4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0" w:lineRule="exact"/>
      <w:ind w:left="150" w:hanging="150" w:hangingChars="15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spacing w:before="100" w:beforeAutospacing="1" w:after="100" w:afterAutospacing="1" w:line="240" w:lineRule="auto"/>
      <w:ind w:left="0" w:firstLine="0" w:firstLineChars="0"/>
      <w:jc w:val="left"/>
      <w:outlineLvl w:val="0"/>
    </w:pPr>
    <w:rPr>
      <w:rFonts w:hint="eastAsia" w:ascii="宋体" w:hAnsi="宋体"/>
      <w:b/>
      <w:kern w:val="44"/>
      <w:sz w:val="48"/>
      <w:szCs w:val="4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Body Text Indent"/>
    <w:basedOn w:val="1"/>
    <w:qFormat/>
    <w:uiPriority w:val="0"/>
    <w:pPr>
      <w:spacing w:after="120"/>
      <w:ind w:left="420" w:leftChars="200"/>
    </w:pPr>
  </w:style>
  <w:style w:type="paragraph" w:styleId="5">
    <w:name w:val="footer"/>
    <w:basedOn w:val="1"/>
    <w:qFormat/>
    <w:uiPriority w:val="99"/>
    <w:pPr>
      <w:tabs>
        <w:tab w:val="center" w:pos="4153"/>
        <w:tab w:val="right" w:pos="8306"/>
      </w:tabs>
      <w:snapToGrid w:val="0"/>
      <w:spacing w:line="240" w:lineRule="atLeast"/>
      <w:jc w:val="left"/>
    </w:pPr>
    <w:rPr>
      <w:sz w:val="18"/>
      <w:szCs w:val="18"/>
    </w:rPr>
  </w:style>
  <w:style w:type="paragraph" w:styleId="6">
    <w:name w:val="Normal (Web)"/>
    <w:basedOn w:val="1"/>
    <w:qFormat/>
    <w:uiPriority w:val="0"/>
    <w:pPr>
      <w:spacing w:before="100" w:beforeAutospacing="1" w:after="100" w:afterAutospacing="1" w:line="240" w:lineRule="auto"/>
      <w:ind w:left="0" w:firstLine="0" w:firstLineChars="0"/>
      <w:jc w:val="left"/>
    </w:pPr>
    <w:rPr>
      <w:rFonts w:ascii="Times New Roman" w:hAnsi="Times New Roman"/>
      <w:kern w:val="0"/>
      <w:sz w:val="24"/>
      <w:szCs w:val="24"/>
    </w:rPr>
  </w:style>
  <w:style w:type="paragraph" w:styleId="7">
    <w:name w:val="Body Text First Indent 2"/>
    <w:basedOn w:val="4"/>
    <w:qFormat/>
    <w:uiPriority w:val="0"/>
    <w:pPr>
      <w:spacing w:after="0"/>
      <w:ind w:firstLine="420" w:firstLineChars="200"/>
    </w:pPr>
  </w:style>
  <w:style w:type="paragraph" w:customStyle="1" w:styleId="10">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3344</Words>
  <Characters>3467</Characters>
  <Lines>0</Lines>
  <Paragraphs>0</Paragraphs>
  <TotalTime>2</TotalTime>
  <ScaleCrop>false</ScaleCrop>
  <LinksUpToDate>false</LinksUpToDate>
  <CharactersWithSpaces>3498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2025-11-28T13:16:00Z</dcterms:created>
  <dc:creator>美年达</dc:creator>
  <cp:lastModifiedBy>huang</cp:lastModifiedBy>
  <dcterms:modified xsi:type="dcterms:W3CDTF">2025-12-31T14:09:18Z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229C678001D8459792400A565649E33F_13</vt:lpwstr>
  </property>
  <property fmtid="{D5CDD505-2E9C-101B-9397-08002B2CF9AE}" pid="4" name="KSOTemplateDocerSaveRecord">
    <vt:lpwstr>eyJoZGlkIjoiY2VlNjA1OTBlYmJmZDc5Mjk1N2I2ZjQwMDdmMmRjN2IiLCJ1c2VySWQiOiI0MTgwMjgwNjUifQ==</vt:lpwstr>
  </property>
</Properties>
</file>