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80" w:lineRule="exact"/>
        <w:ind w:left="0" w:right="641"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eastAsia="仿宋_GB2312"/>
          <w:color w:val="000000"/>
          <w:kern w:val="0"/>
          <w:szCs w:val="21"/>
        </w:rPr>
        <w:t xml:space="preserve"> </w:t>
      </w:r>
    </w:p>
    <w:p>
      <w:pPr>
        <w:adjustRightInd w:val="0"/>
        <w:spacing w:line="580" w:lineRule="exact"/>
        <w:ind w:left="600" w:right="641" w:hanging="600"/>
        <w:jc w:val="center"/>
        <w:rPr>
          <w:rFonts w:hint="eastAsia" w:ascii="黑体" w:hAnsi="黑体" w:eastAsia="黑体" w:cs="黑体"/>
          <w:sz w:val="40"/>
          <w:szCs w:val="44"/>
        </w:rPr>
      </w:pPr>
      <w:r>
        <w:rPr>
          <w:rFonts w:hint="eastAsia" w:ascii="黑体" w:hAnsi="黑体" w:eastAsia="黑体" w:cs="黑体"/>
          <w:sz w:val="40"/>
          <w:szCs w:val="44"/>
          <w:lang w:val="en-US" w:eastAsia="zh-CN"/>
        </w:rPr>
        <w:t>巨口铺</w:t>
      </w:r>
      <w:r>
        <w:rPr>
          <w:rFonts w:hint="eastAsia" w:ascii="黑体" w:hAnsi="黑体" w:eastAsia="黑体" w:cs="黑体"/>
          <w:sz w:val="40"/>
          <w:szCs w:val="44"/>
        </w:rPr>
        <w:t>镇人民政府部门整体支出绩效自评报告</w:t>
      </w:r>
    </w:p>
    <w:p>
      <w:pPr>
        <w:adjustRightInd w:val="0"/>
        <w:spacing w:line="580" w:lineRule="exact"/>
        <w:ind w:left="480" w:right="641" w:hanging="480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一、部门概况</w:t>
      </w:r>
    </w:p>
    <w:p>
      <w:pPr>
        <w:adjustRightInd w:val="0"/>
        <w:snapToGrid w:val="0"/>
        <w:spacing w:line="580" w:lineRule="exact"/>
        <w:ind w:left="480" w:hanging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（一）部门基本情况</w:t>
      </w:r>
    </w:p>
    <w:p>
      <w:pPr>
        <w:adjustRightInd w:val="0"/>
        <w:snapToGrid w:val="0"/>
        <w:spacing w:line="600" w:lineRule="exact"/>
        <w:ind w:left="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根据编委核定，202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我镇下设党政综合办公室、社会事务办公室、社会治安和应急管理办公室、基层党建办公室、经济发展办公室、自然资源和生态环境办公室六个办公室,内设政务服务中心、社会事务综合服务中心、农业综合服务中心三大中心，以及财政所、退役军人服务站与一个综合行政执法大队。我单位共有编制104人，其中行政编制47人，事业编人员57人。</w:t>
      </w:r>
      <w:r>
        <w:rPr>
          <w:rFonts w:hint="eastAsia" w:ascii="仿宋" w:hAnsi="仿宋" w:eastAsia="仿宋"/>
          <w:sz w:val="32"/>
          <w:szCs w:val="32"/>
        </w:rPr>
        <w:t>主要工作职责具体如下：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left="200" w:firstLine="64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贯彻执行党的路线、方针、政策和国家法律法规，贯彻执行上级行政机关的决议、命令及镇党委的决定，执行镇人民代表大会的决议。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left="200" w:firstLine="64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对镇人民代表大会及其主席团和上级行政机关负责并报告工作。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left="200" w:firstLine="64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编制和执行本镇国民经济和社会发展计划，编制并执行财政预算。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left="200" w:firstLine="64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管理本镇经济和各项社会事业的行政工作。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left="200" w:firstLine="64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负责辖区内行政执法工作，维护社会秩序，保护公民人身、民主、财产等合法权利，保护各种经济组织合法权益。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left="200" w:firstLine="64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指导、支持和帮助村民委员会工作。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left="200" w:firstLine="64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法律规定的其他职责。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left="200" w:firstLine="64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办理上级人民政府交办的事项。</w:t>
      </w:r>
    </w:p>
    <w:p>
      <w:pPr>
        <w:adjustRightInd w:val="0"/>
        <w:snapToGrid w:val="0"/>
        <w:spacing w:line="600" w:lineRule="exact"/>
        <w:ind w:left="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年度工作计划：</w:t>
      </w:r>
    </w:p>
    <w:p>
      <w:pPr>
        <w:adjustRightInd w:val="0"/>
        <w:snapToGrid w:val="0"/>
        <w:spacing w:line="600" w:lineRule="exact"/>
        <w:ind w:left="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目标1：保障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巨口铺</w:t>
      </w:r>
      <w:r>
        <w:rPr>
          <w:rFonts w:hint="eastAsia" w:ascii="仿宋" w:hAnsi="仿宋" w:eastAsia="仿宋"/>
          <w:sz w:val="32"/>
          <w:szCs w:val="32"/>
        </w:rPr>
        <w:t>镇在职干部的薪酬待遇、正常办公、生活秩序；</w:t>
      </w:r>
    </w:p>
    <w:p>
      <w:pPr>
        <w:adjustRightInd w:val="0"/>
        <w:snapToGrid w:val="0"/>
        <w:spacing w:line="600" w:lineRule="exact"/>
        <w:ind w:left="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目标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：提升全镇人居环境，环境卫生检查100%达标，90%优秀，提高全镇环境保护意识；</w:t>
      </w:r>
    </w:p>
    <w:p>
      <w:pPr>
        <w:adjustRightInd w:val="0"/>
        <w:snapToGrid w:val="0"/>
        <w:spacing w:line="600" w:lineRule="exact"/>
        <w:ind w:left="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目标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：巩固精准脱贫成效，加大对边缘户的核查力度，防止因病因残因灾返贫，全面推进乡村振兴；</w:t>
      </w:r>
    </w:p>
    <w:p>
      <w:pPr>
        <w:adjustRightInd w:val="0"/>
        <w:snapToGrid w:val="0"/>
        <w:spacing w:line="600" w:lineRule="exact"/>
        <w:ind w:left="0" w:firstLine="640" w:firstLineChars="200"/>
        <w:rPr>
          <w:rFonts w:hint="eastAsia"/>
        </w:rPr>
      </w:pPr>
      <w:r>
        <w:rPr>
          <w:rFonts w:hint="eastAsia" w:ascii="仿宋" w:hAnsi="仿宋" w:eastAsia="仿宋"/>
          <w:sz w:val="32"/>
          <w:szCs w:val="32"/>
        </w:rPr>
        <w:t>目标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：加强基层党组织建设，深入开展党史</w:t>
      </w:r>
      <w:r>
        <w:rPr>
          <w:rFonts w:hint="eastAsia" w:ascii="仿宋" w:hAnsi="仿宋" w:eastAsia="仿宋"/>
          <w:sz w:val="32"/>
          <w:szCs w:val="32"/>
          <w:lang w:eastAsia="zh-CN"/>
        </w:rPr>
        <w:t>学习</w:t>
      </w:r>
      <w:bookmarkStart w:id="1" w:name="_GoBack"/>
      <w:bookmarkEnd w:id="1"/>
      <w:r>
        <w:rPr>
          <w:rFonts w:hint="eastAsia" w:ascii="仿宋" w:hAnsi="仿宋" w:eastAsia="仿宋"/>
          <w:sz w:val="32"/>
          <w:szCs w:val="32"/>
        </w:rPr>
        <w:t>教育；</w:t>
      </w:r>
    </w:p>
    <w:p>
      <w:pPr>
        <w:adjustRightInd w:val="0"/>
        <w:snapToGrid w:val="0"/>
        <w:spacing w:line="580" w:lineRule="exact"/>
        <w:ind w:left="0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（二）部门整体支出规模、使用方向和主要内容、涉及范围等。</w:t>
      </w:r>
    </w:p>
    <w:p>
      <w:pPr>
        <w:adjustRightInd w:val="0"/>
        <w:snapToGrid w:val="0"/>
        <w:spacing w:line="580" w:lineRule="exact"/>
        <w:ind w:lef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年度支出预算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3542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</w:rPr>
        <w:t>部门整体支出规模为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3297.57</w:t>
      </w:r>
      <w:r>
        <w:rPr>
          <w:rFonts w:hint="eastAsia" w:ascii="仿宋" w:hAnsi="仿宋" w:eastAsia="仿宋" w:cs="仿宋"/>
          <w:sz w:val="32"/>
          <w:szCs w:val="32"/>
        </w:rPr>
        <w:t>万元，使用方向主要为，</w:t>
      </w:r>
      <w:r>
        <w:rPr>
          <w:rFonts w:hint="eastAsia" w:ascii="仿宋" w:hAnsi="仿宋" w:eastAsia="仿宋"/>
          <w:sz w:val="32"/>
          <w:szCs w:val="32"/>
        </w:rPr>
        <w:t>主要用于工资福利支出、商品和服务支出、对个人和家庭的补助和资本性支出以及</w:t>
      </w:r>
      <w:r>
        <w:rPr>
          <w:rFonts w:hint="eastAsia" w:ascii="仿宋" w:hAnsi="仿宋" w:eastAsia="仿宋" w:cs="仿宋"/>
          <w:sz w:val="32"/>
          <w:szCs w:val="32"/>
        </w:rPr>
        <w:t>承办县委县政府中心工作和交办的其他事项。</w:t>
      </w:r>
    </w:p>
    <w:p>
      <w:pPr>
        <w:adjustRightInd w:val="0"/>
        <w:snapToGrid w:val="0"/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二、一般公共预算支出情况</w:t>
      </w:r>
    </w:p>
    <w:p>
      <w:pPr>
        <w:adjustRightInd w:val="0"/>
        <w:snapToGrid w:val="0"/>
        <w:spacing w:line="580" w:lineRule="exact"/>
        <w:ind w:left="480" w:hanging="48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（一）基本支出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基本支出的主要用途、范围以及资金的管理情况，尤其是“三公”经费的使用和管理情况如下：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1、工资和福利支出，金额为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1701.65</w:t>
      </w:r>
      <w:r>
        <w:rPr>
          <w:rFonts w:hint="eastAsia" w:ascii="仿宋" w:hAnsi="仿宋" w:eastAsia="仿宋" w:cs="仿宋"/>
          <w:sz w:val="32"/>
          <w:szCs w:val="32"/>
        </w:rPr>
        <w:t>万元。其中：基本工资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386.21</w:t>
      </w:r>
      <w:r>
        <w:rPr>
          <w:rFonts w:hint="eastAsia" w:ascii="仿宋" w:hAnsi="仿宋" w:eastAsia="仿宋" w:cs="仿宋"/>
          <w:sz w:val="32"/>
          <w:szCs w:val="32"/>
        </w:rPr>
        <w:t>万元、津贴补贴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184.81</w:t>
      </w:r>
      <w:r>
        <w:rPr>
          <w:rFonts w:hint="eastAsia" w:ascii="仿宋" w:hAnsi="仿宋" w:eastAsia="仿宋" w:cs="仿宋"/>
          <w:sz w:val="32"/>
          <w:szCs w:val="32"/>
        </w:rPr>
        <w:t>万元、奖金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754.37</w:t>
      </w:r>
      <w:r>
        <w:rPr>
          <w:rFonts w:hint="eastAsia" w:ascii="仿宋" w:hAnsi="仿宋" w:eastAsia="仿宋" w:cs="仿宋"/>
          <w:sz w:val="32"/>
          <w:szCs w:val="32"/>
        </w:rPr>
        <w:t>万元、伙食补助费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40.98</w:t>
      </w:r>
      <w:r>
        <w:rPr>
          <w:rFonts w:hint="eastAsia" w:ascii="仿宋" w:hAnsi="仿宋" w:eastAsia="仿宋" w:cs="仿宋"/>
          <w:sz w:val="32"/>
          <w:szCs w:val="32"/>
        </w:rPr>
        <w:t>万元，绩效工资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139.52</w:t>
      </w:r>
      <w:r>
        <w:rPr>
          <w:rFonts w:hint="eastAsia" w:ascii="仿宋" w:hAnsi="仿宋" w:eastAsia="仿宋" w:cs="仿宋"/>
          <w:sz w:val="32"/>
          <w:szCs w:val="32"/>
        </w:rPr>
        <w:t>万元、机关事业单位基本养老保险缴费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121.96</w:t>
      </w:r>
      <w:r>
        <w:rPr>
          <w:rFonts w:hint="eastAsia" w:ascii="仿宋" w:hAnsi="仿宋" w:eastAsia="仿宋" w:cs="仿宋"/>
          <w:sz w:val="32"/>
          <w:szCs w:val="32"/>
        </w:rPr>
        <w:t>万元、职业年金缴费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0.08</w:t>
      </w:r>
      <w:r>
        <w:rPr>
          <w:rFonts w:hint="eastAsia" w:ascii="仿宋" w:hAnsi="仿宋" w:eastAsia="仿宋" w:cs="仿宋"/>
          <w:sz w:val="32"/>
          <w:szCs w:val="32"/>
        </w:rPr>
        <w:t>万元，职工基本医疗保险缴费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55.74</w:t>
      </w:r>
      <w:r>
        <w:rPr>
          <w:rFonts w:hint="eastAsia" w:ascii="仿宋" w:hAnsi="仿宋" w:eastAsia="仿宋" w:cs="仿宋"/>
          <w:sz w:val="32"/>
          <w:szCs w:val="32"/>
        </w:rPr>
        <w:t>万元、其他社会保障缴费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16.30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2、商品和服务支出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800.01</w:t>
      </w:r>
      <w:r>
        <w:rPr>
          <w:rFonts w:hint="eastAsia" w:ascii="仿宋" w:hAnsi="仿宋" w:eastAsia="仿宋" w:cs="仿宋"/>
          <w:sz w:val="32"/>
          <w:szCs w:val="32"/>
        </w:rPr>
        <w:t>万元。其中：办公费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27.14</w:t>
      </w:r>
      <w:r>
        <w:rPr>
          <w:rFonts w:hint="eastAsia" w:ascii="仿宋" w:hAnsi="仿宋" w:eastAsia="仿宋" w:cs="仿宋"/>
          <w:sz w:val="32"/>
          <w:szCs w:val="32"/>
        </w:rPr>
        <w:t>万元、印刷费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91.11</w:t>
      </w:r>
      <w:r>
        <w:rPr>
          <w:rFonts w:hint="eastAsia" w:ascii="仿宋" w:hAnsi="仿宋" w:eastAsia="仿宋" w:cs="仿宋"/>
          <w:sz w:val="32"/>
          <w:szCs w:val="32"/>
        </w:rPr>
        <w:t>万元，咨询费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0.08</w:t>
      </w:r>
      <w:r>
        <w:rPr>
          <w:rFonts w:hint="eastAsia" w:ascii="仿宋" w:hAnsi="仿宋" w:eastAsia="仿宋" w:cs="仿宋"/>
          <w:sz w:val="32"/>
          <w:szCs w:val="32"/>
        </w:rPr>
        <w:t>万元、水费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3.46</w:t>
      </w:r>
      <w:r>
        <w:rPr>
          <w:rFonts w:hint="eastAsia" w:ascii="仿宋" w:hAnsi="仿宋" w:eastAsia="仿宋" w:cs="仿宋"/>
          <w:sz w:val="32"/>
          <w:szCs w:val="32"/>
        </w:rPr>
        <w:t>万元，电费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7.99</w:t>
      </w:r>
      <w:r>
        <w:rPr>
          <w:rFonts w:hint="eastAsia" w:ascii="仿宋" w:hAnsi="仿宋" w:eastAsia="仿宋" w:cs="仿宋"/>
          <w:sz w:val="32"/>
          <w:szCs w:val="32"/>
        </w:rPr>
        <w:t>万元、邮电费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0.92</w:t>
      </w:r>
      <w:r>
        <w:rPr>
          <w:rFonts w:hint="eastAsia" w:ascii="仿宋" w:hAnsi="仿宋" w:eastAsia="仿宋" w:cs="仿宋"/>
          <w:sz w:val="32"/>
          <w:szCs w:val="32"/>
        </w:rPr>
        <w:t>万元、差旅费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83.17</w:t>
      </w:r>
      <w:r>
        <w:rPr>
          <w:rFonts w:hint="eastAsia" w:ascii="仿宋" w:hAnsi="仿宋" w:eastAsia="仿宋" w:cs="仿宋"/>
          <w:sz w:val="32"/>
          <w:szCs w:val="32"/>
        </w:rPr>
        <w:t>万元、维修（护）费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52.52</w:t>
      </w:r>
      <w:r>
        <w:rPr>
          <w:rFonts w:hint="eastAsia" w:ascii="仿宋" w:hAnsi="仿宋" w:eastAsia="仿宋" w:cs="仿宋"/>
          <w:sz w:val="32"/>
          <w:szCs w:val="32"/>
        </w:rPr>
        <w:t>万元、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租赁费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9.56万元、</w:t>
      </w:r>
      <w:r>
        <w:rPr>
          <w:rFonts w:hint="eastAsia" w:ascii="仿宋" w:hAnsi="仿宋" w:eastAsia="仿宋" w:cs="仿宋"/>
          <w:sz w:val="32"/>
          <w:szCs w:val="32"/>
        </w:rPr>
        <w:t>会议费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3.82</w:t>
      </w:r>
      <w:r>
        <w:rPr>
          <w:rFonts w:hint="eastAsia" w:ascii="仿宋" w:hAnsi="仿宋" w:eastAsia="仿宋" w:cs="仿宋"/>
          <w:sz w:val="32"/>
          <w:szCs w:val="32"/>
        </w:rPr>
        <w:t>万元、培训费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0.45</w:t>
      </w:r>
      <w:r>
        <w:rPr>
          <w:rFonts w:hint="eastAsia" w:ascii="仿宋" w:hAnsi="仿宋" w:eastAsia="仿宋" w:cs="仿宋"/>
          <w:sz w:val="32"/>
          <w:szCs w:val="32"/>
        </w:rPr>
        <w:t>万元、公务接待费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5.36</w:t>
      </w:r>
      <w:r>
        <w:rPr>
          <w:rFonts w:hint="eastAsia" w:ascii="仿宋" w:hAnsi="仿宋" w:eastAsia="仿宋" w:cs="仿宋"/>
          <w:sz w:val="32"/>
          <w:szCs w:val="32"/>
        </w:rPr>
        <w:t>万元、劳务费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36.73</w:t>
      </w:r>
      <w:r>
        <w:rPr>
          <w:rFonts w:hint="eastAsia" w:ascii="仿宋" w:hAnsi="仿宋" w:eastAsia="仿宋" w:cs="仿宋"/>
          <w:sz w:val="32"/>
          <w:szCs w:val="32"/>
        </w:rPr>
        <w:t>万元、工会经费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28.56</w:t>
      </w:r>
      <w:r>
        <w:rPr>
          <w:rFonts w:hint="eastAsia" w:ascii="仿宋" w:hAnsi="仿宋" w:eastAsia="仿宋" w:cs="仿宋"/>
          <w:sz w:val="32"/>
          <w:szCs w:val="32"/>
        </w:rPr>
        <w:t>万元、公务用车运行维护费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4.78</w:t>
      </w:r>
      <w:r>
        <w:rPr>
          <w:rFonts w:hint="eastAsia" w:ascii="仿宋" w:hAnsi="仿宋" w:eastAsia="仿宋" w:cs="仿宋"/>
          <w:sz w:val="32"/>
          <w:szCs w:val="32"/>
        </w:rPr>
        <w:t>万元、其他交通费用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41.52</w:t>
      </w:r>
      <w:r>
        <w:rPr>
          <w:rFonts w:hint="eastAsia" w:ascii="仿宋" w:hAnsi="仿宋" w:eastAsia="仿宋" w:cs="仿宋"/>
          <w:sz w:val="32"/>
          <w:szCs w:val="32"/>
        </w:rPr>
        <w:t>万元，其他商品和服务支出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388.06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3.对个</w:t>
      </w:r>
      <w:r>
        <w:rPr>
          <w:rFonts w:hint="eastAsia" w:ascii="仿宋" w:hAnsi="仿宋" w:eastAsia="仿宋" w:cs="仿宋"/>
          <w:sz w:val="32"/>
          <w:szCs w:val="32"/>
        </w:rPr>
        <w:t>人和家庭的补助支出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61.43</w:t>
      </w:r>
      <w:r>
        <w:rPr>
          <w:rFonts w:hint="eastAsia" w:ascii="仿宋" w:hAnsi="仿宋" w:eastAsia="仿宋" w:cs="仿宋"/>
          <w:sz w:val="32"/>
          <w:szCs w:val="32"/>
        </w:rPr>
        <w:t>万元。其中：生活补助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5.48</w:t>
      </w:r>
      <w:r>
        <w:rPr>
          <w:rFonts w:hint="eastAsia" w:ascii="仿宋" w:hAnsi="仿宋" w:eastAsia="仿宋" w:cs="仿宋"/>
          <w:sz w:val="32"/>
          <w:szCs w:val="32"/>
        </w:rPr>
        <w:t>万元、其他对个人和家庭的补助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21.99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adjustRightInd w:val="0"/>
        <w:snapToGrid w:val="0"/>
        <w:spacing w:line="600" w:lineRule="exact"/>
        <w:ind w:left="743" w:leftChars="354"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</w:t>
      </w:r>
      <w:r>
        <w:rPr>
          <w:rFonts w:hint="eastAsia" w:ascii="仿宋" w:hAnsi="仿宋" w:eastAsia="仿宋"/>
          <w:sz w:val="32"/>
          <w:szCs w:val="32"/>
        </w:rPr>
        <w:t>“三公经费”支出使用和管理</w:t>
      </w:r>
    </w:p>
    <w:p>
      <w:pPr>
        <w:pStyle w:val="12"/>
        <w:spacing w:line="600" w:lineRule="exact"/>
        <w:ind w:left="0" w:leftChars="0" w:firstLine="64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因公出国（境）费202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年预算0万元；公务接待费20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bCs/>
          <w:sz w:val="32"/>
          <w:szCs w:val="32"/>
        </w:rPr>
        <w:t>年预算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5.4</w:t>
      </w:r>
      <w:r>
        <w:rPr>
          <w:rFonts w:hint="eastAsia" w:ascii="仿宋" w:hAnsi="仿宋" w:eastAsia="仿宋" w:cs="仿宋"/>
          <w:bCs/>
          <w:sz w:val="32"/>
          <w:szCs w:val="32"/>
        </w:rPr>
        <w:t>万元，；公务用车购置及运行费20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bCs/>
          <w:sz w:val="32"/>
          <w:szCs w:val="32"/>
        </w:rPr>
        <w:t>年预算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4.8</w:t>
      </w:r>
      <w:r>
        <w:rPr>
          <w:rFonts w:hint="eastAsia" w:ascii="仿宋" w:hAnsi="仿宋" w:eastAsia="仿宋" w:cs="仿宋"/>
          <w:bCs/>
          <w:sz w:val="32"/>
          <w:szCs w:val="32"/>
        </w:rPr>
        <w:t>万元。</w:t>
      </w:r>
    </w:p>
    <w:p>
      <w:pPr>
        <w:adjustRightInd w:val="0"/>
        <w:snapToGrid w:val="0"/>
        <w:spacing w:line="580" w:lineRule="exact"/>
        <w:ind w:left="480" w:hanging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（二）项目支出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</w:t>
      </w:r>
    </w:p>
    <w:p>
      <w:pPr>
        <w:adjustRightInd w:val="0"/>
        <w:snapToGrid w:val="0"/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三、资产管理情况</w:t>
      </w:r>
    </w:p>
    <w:p>
      <w:pPr>
        <w:adjustRightInd w:val="0"/>
        <w:snapToGrid w:val="0"/>
        <w:spacing w:line="580" w:lineRule="exact"/>
        <w:ind w:lef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截止202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年12月31日，我单位资产总额为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1735.73</w:t>
      </w:r>
      <w:r>
        <w:rPr>
          <w:rFonts w:hint="eastAsia" w:ascii="仿宋" w:hAnsi="仿宋" w:eastAsia="仿宋" w:cs="仿宋"/>
          <w:sz w:val="32"/>
          <w:szCs w:val="32"/>
        </w:rPr>
        <w:t>万元，其中：流动资产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1481.55</w:t>
      </w:r>
      <w:r>
        <w:rPr>
          <w:rFonts w:hint="eastAsia" w:ascii="仿宋" w:hAnsi="仿宋" w:eastAsia="仿宋" w:cs="仿宋"/>
          <w:sz w:val="32"/>
          <w:szCs w:val="32"/>
        </w:rPr>
        <w:t>万元，占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85.36</w:t>
      </w:r>
      <w:r>
        <w:rPr>
          <w:rFonts w:hint="eastAsia" w:ascii="仿宋" w:hAnsi="仿宋" w:eastAsia="仿宋" w:cs="仿宋"/>
          <w:sz w:val="32"/>
          <w:szCs w:val="32"/>
        </w:rPr>
        <w:t>%；非流动资产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254.18</w:t>
      </w:r>
      <w:r>
        <w:rPr>
          <w:rFonts w:hint="eastAsia" w:ascii="仿宋" w:hAnsi="仿宋" w:eastAsia="仿宋" w:cs="仿宋"/>
          <w:sz w:val="32"/>
          <w:szCs w:val="32"/>
        </w:rPr>
        <w:t>万元，占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14.64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adjustRightInd w:val="0"/>
        <w:snapToGrid w:val="0"/>
        <w:spacing w:line="580" w:lineRule="exact"/>
        <w:ind w:lef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加强我单位资产管理，确保国有资产的安全使用，我单位根据新党办发[2021]5号文件《新邵县行政事业性国有资产监督管理办法》的文件精神,并结合国有资产部门相关要求,强化我镇行政事业性国有资产监督管理,维护国有资产的安全和完整,提高使用效益。同时严格按照新财资[2021]19号文件《新邵县行政事业单位国有资产配置预算及实物限额标准》、新财资[2021]54号文件《新邵县行政事业单位国有资产配置、处置操作流程》的文件要求，进行资产配置和处置。制定《新邵县潭溪镇国有资产管理制度》，制度中规定包含：1、固定资产的的配置报批程序，采购、审批、验收规程。2、固定资产的管理和使用、处置程序、处置范围。3、固定资产清查程序、方法等。</w:t>
      </w:r>
    </w:p>
    <w:p>
      <w:pPr>
        <w:adjustRightInd w:val="0"/>
        <w:snapToGrid w:val="0"/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四、政府性基金预算支出情况</w:t>
      </w:r>
    </w:p>
    <w:p>
      <w:pPr>
        <w:adjustRightInd w:val="0"/>
        <w:snapToGrid w:val="0"/>
        <w:spacing w:line="580" w:lineRule="exact"/>
        <w:ind w:lef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</w:t>
      </w:r>
    </w:p>
    <w:p>
      <w:pPr>
        <w:adjustRightInd w:val="0"/>
        <w:snapToGrid w:val="0"/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五、国有资本经营预算支出情况</w:t>
      </w:r>
    </w:p>
    <w:p>
      <w:pPr>
        <w:adjustRightInd w:val="0"/>
        <w:snapToGrid w:val="0"/>
        <w:spacing w:line="580" w:lineRule="exact"/>
        <w:ind w:lef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</w:t>
      </w:r>
    </w:p>
    <w:p>
      <w:pPr>
        <w:adjustRightInd w:val="0"/>
        <w:snapToGrid w:val="0"/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六、社会保险基金预算支出情况</w:t>
      </w:r>
    </w:p>
    <w:p>
      <w:pPr>
        <w:adjustRightInd w:val="0"/>
        <w:snapToGrid w:val="0"/>
        <w:spacing w:line="580" w:lineRule="exact"/>
        <w:ind w:left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</w:t>
      </w:r>
    </w:p>
    <w:p>
      <w:pPr>
        <w:adjustRightInd w:val="0"/>
        <w:snapToGrid w:val="0"/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七、部门整体支出主要绩效</w:t>
      </w:r>
    </w:p>
    <w:p>
      <w:pPr>
        <w:adjustRightInd w:val="0"/>
        <w:snapToGrid w:val="0"/>
        <w:spacing w:line="580" w:lineRule="exact"/>
        <w:ind w:left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，我镇在各级领导的关怀下，在县委、县政府的领导下，认真履职，创新工作机制，各项工作圆满完成。工作中严格执行财政预算绩效目标管理要求，强化费用管理和监督，严格控制非必须开支，部门整体支出合理、合法、高效、安全。本次绩效评价的目的是为了全面分析和综合评价本部门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年财政预算资金的使用管理情况，强化财政支出绩效理念和责任意识，提高财政资金使用效益，为以后年度财政资金的管理和预算安排提供参考。</w:t>
      </w:r>
    </w:p>
    <w:p>
      <w:pPr>
        <w:adjustRightInd w:val="0"/>
        <w:snapToGrid w:val="0"/>
        <w:spacing w:line="580" w:lineRule="exact"/>
        <w:ind w:left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严格预算支出管理。在支出预算编制上，人员经费按照配置定额，逐人核定编制，公用经费分类分档，按定额编制；根据“总量控制、计划管理”的要求从严控制行政经费，压缩公务费开支，严格控制“三公”经费，资产的配置严格政府采购，按照预算科目和项目资金的规定使用财政资金，保障部门整体支出的规范化、制度化。</w:t>
      </w:r>
    </w:p>
    <w:p>
      <w:pPr>
        <w:adjustRightInd w:val="0"/>
        <w:snapToGrid w:val="0"/>
        <w:spacing w:line="580" w:lineRule="exact"/>
        <w:ind w:left="0"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2、财务管理上，按照国家相关法律法规，制定了机关财务、公务购置使用、接待、会务、车辆使用等管理制度，并严格按照制度管理和执行，防范风险，保证财政资金的安全和高效运行。</w:t>
      </w:r>
    </w:p>
    <w:p>
      <w:pPr>
        <w:adjustRightInd w:val="0"/>
        <w:snapToGrid w:val="0"/>
        <w:spacing w:line="580" w:lineRule="exact"/>
        <w:ind w:left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通过对部门整体支出情况的概述和实际支出情况的分析，部门整体支出绩效目标管理情况评价如下：</w:t>
      </w:r>
    </w:p>
    <w:p>
      <w:pPr>
        <w:adjustRightInd w:val="0"/>
        <w:snapToGrid w:val="0"/>
        <w:spacing w:line="580" w:lineRule="exact"/>
        <w:ind w:left="0" w:firstLine="600" w:firstLineChars="200"/>
        <w:rPr>
          <w:rFonts w:hint="eastAsia" w:ascii="仿宋" w:hAnsi="仿宋" w:eastAsia="仿宋" w:cs="仿宋"/>
          <w:sz w:val="30"/>
          <w:szCs w:val="30"/>
        </w:rPr>
      </w:pPr>
      <w:bookmarkStart w:id="0" w:name="_Toc419142222"/>
      <w:r>
        <w:rPr>
          <w:rFonts w:hint="eastAsia" w:ascii="仿宋" w:hAnsi="仿宋" w:eastAsia="仿宋" w:cs="仿宋"/>
          <w:sz w:val="30"/>
          <w:szCs w:val="30"/>
        </w:rPr>
        <w:t>（一）经济性评价</w:t>
      </w:r>
      <w:bookmarkEnd w:id="0"/>
    </w:p>
    <w:p>
      <w:pPr>
        <w:adjustRightInd w:val="0"/>
        <w:snapToGrid w:val="0"/>
        <w:spacing w:line="580" w:lineRule="exact"/>
        <w:ind w:left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按照厉行节俭的要求，严格控制各项开支，202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年三公经费在预算执行方面，支出总额严格控制在预算总额内。</w:t>
      </w:r>
    </w:p>
    <w:p>
      <w:pPr>
        <w:adjustRightInd w:val="0"/>
        <w:snapToGrid w:val="0"/>
        <w:spacing w:line="580" w:lineRule="exact"/>
        <w:ind w:left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（二）行政效能评价</w:t>
      </w:r>
    </w:p>
    <w:p>
      <w:pPr>
        <w:adjustRightInd w:val="0"/>
        <w:snapToGrid w:val="0"/>
        <w:spacing w:line="580" w:lineRule="exact"/>
        <w:ind w:left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加强组织保障全。成立了专项工作领导小组，建立动态管理机制。成立了财政预算绩效管理、财务会审、内部控制等工作领导小组，每月召开专题会议，实行定期汇报制，定期向党委汇报财政预算执行情况，进行动态调整。</w:t>
      </w:r>
    </w:p>
    <w:p>
      <w:pPr>
        <w:adjustRightInd w:val="0"/>
        <w:snapToGrid w:val="0"/>
        <w:spacing w:line="580" w:lineRule="exact"/>
        <w:ind w:left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制度完善落实处。制定了财务管理制度，完善监督管理机制。制定了各项财务管理制度和管理办法，对机关经费管理、收入支出管理、票据管理、政府采购管理、预算管理、公务接待管理、固定资产管理、财务保密管理等方面明确了规定，进行了详细说明，在原有基础上更进一步强化了内部管理。</w:t>
      </w:r>
    </w:p>
    <w:p>
      <w:pPr>
        <w:adjustRightInd w:val="0"/>
        <w:snapToGrid w:val="0"/>
        <w:spacing w:line="580" w:lineRule="exact"/>
        <w:ind w:left="0" w:firstLine="600" w:firstLineChars="20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0"/>
          <w:szCs w:val="30"/>
        </w:rPr>
        <w:t>行政管理效能高。严格按照年初预算，有序执行预算，充分保障了单位正常运转，提高了行政运行效率，有效控制了行政运行成本。</w:t>
      </w:r>
    </w:p>
    <w:p>
      <w:pPr>
        <w:adjustRightInd w:val="0"/>
        <w:snapToGrid w:val="0"/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八、存在的问题</w:t>
      </w:r>
    </w:p>
    <w:p>
      <w:pPr>
        <w:widowControl/>
        <w:spacing w:line="600" w:lineRule="exact"/>
        <w:ind w:left="149" w:leftChars="71" w:firstLine="480" w:firstLineChars="15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一、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绩效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管理制度有待完善，绩效管理认知及水平有待加强。</w:t>
      </w:r>
    </w:p>
    <w:p>
      <w:pPr>
        <w:widowControl/>
        <w:spacing w:line="600" w:lineRule="exact"/>
        <w:ind w:left="447" w:leftChars="213" w:firstLine="160" w:firstLineChars="5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二、前置预算编制水平有待提高。</w:t>
      </w:r>
    </w:p>
    <w:p>
      <w:pPr>
        <w:widowControl/>
        <w:spacing w:line="600" w:lineRule="exact"/>
        <w:ind w:left="447" w:leftChars="213" w:firstLine="160" w:firstLineChars="50"/>
        <w:jc w:val="left"/>
        <w:rPr>
          <w:rFonts w:hint="eastAsia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三、资产管理有待完善，国有资产机制运行不平稳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adjustRightInd w:val="0"/>
        <w:snapToGrid w:val="0"/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九、改进措施和有关建议</w:t>
      </w:r>
    </w:p>
    <w:p>
      <w:pPr>
        <w:widowControl/>
        <w:spacing w:line="600" w:lineRule="exact"/>
        <w:ind w:left="638" w:leftChars="304" w:firstLine="0" w:firstLineChars="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1、加强预算管理，完善管理制度，严格预算执行，建</w:t>
      </w:r>
    </w:p>
    <w:p>
      <w:pPr>
        <w:widowControl/>
        <w:spacing w:line="600" w:lineRule="exact"/>
        <w:ind w:left="0" w:firstLine="0" w:firstLineChars="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立绩效评价的长期机制，提高资金使用效益。同时加强对财务人员的业务能力培训，不断提高财务人员业务水平及能力素质，定期更新财务人员的业务知识储备。</w:t>
      </w:r>
    </w:p>
    <w:p>
      <w:pPr>
        <w:widowControl/>
        <w:numPr>
          <w:ilvl w:val="0"/>
          <w:numId w:val="2"/>
        </w:numPr>
        <w:spacing w:line="600" w:lineRule="exact"/>
        <w:ind w:left="638" w:leftChars="304" w:firstLine="0" w:firstLineChars="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细化预算编制工作，认真做好预算的编制。进一步</w:t>
      </w:r>
    </w:p>
    <w:p>
      <w:pPr>
        <w:widowControl/>
        <w:spacing w:line="600" w:lineRule="exact"/>
        <w:ind w:left="0" w:firstLine="0" w:firstLineChars="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加强内部机构的预算管理意识，严格按照预算编制的相关制度和要求，本着“勤俭节约、保障运转”的原则进行预算的编制；编制范围尽可能的全面、不漏项，进一步提高预算编制的科学性、合理性、严谨性和可控性。</w:t>
      </w:r>
    </w:p>
    <w:p>
      <w:pPr>
        <w:widowControl/>
        <w:spacing w:line="600" w:lineRule="exact"/>
        <w:ind w:left="0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3、进一步加强和完善资产管理，健全国有资产管理制度，加强国有资产管理员培训，将各项国有资产责任精确到人，同时加强台账管理。</w:t>
      </w:r>
    </w:p>
    <w:p>
      <w:pPr>
        <w:adjustRightInd w:val="0"/>
        <w:snapToGrid w:val="0"/>
        <w:spacing w:line="580" w:lineRule="exact"/>
        <w:ind w:left="0" w:firstLine="900" w:firstLineChars="300"/>
        <w:rPr>
          <w:rFonts w:hint="eastAsia" w:ascii="仿宋_GB2312" w:hAnsi="宋体" w:eastAsia="仿宋_GB2312" w:cs="仿宋_GB2312"/>
          <w:sz w:val="30"/>
          <w:szCs w:val="30"/>
        </w:rPr>
      </w:pPr>
    </w:p>
    <w:p>
      <w:pPr>
        <w:adjustRightInd w:val="0"/>
        <w:snapToGrid w:val="0"/>
        <w:spacing w:line="580" w:lineRule="exact"/>
        <w:ind w:left="0" w:firstLine="900" w:firstLineChars="300"/>
        <w:rPr>
          <w:rFonts w:hint="eastAsia" w:ascii="仿宋_GB2312" w:hAnsi="宋体" w:eastAsia="仿宋_GB2312" w:cs="仿宋_GB2312"/>
          <w:sz w:val="30"/>
          <w:szCs w:val="30"/>
        </w:rPr>
      </w:pPr>
    </w:p>
    <w:p>
      <w:pPr>
        <w:spacing w:line="580" w:lineRule="exact"/>
        <w:ind w:left="0" w:right="160" w:firstLine="0" w:firstLineChars="0"/>
        <w:rPr>
          <w:rFonts w:ascii="仿宋" w:hAnsi="仿宋" w:eastAsia="仿宋"/>
          <w:sz w:val="24"/>
        </w:rPr>
      </w:pPr>
    </w:p>
    <w:sectPr>
      <w:headerReference r:id="rId5" w:type="default"/>
      <w:footerReference r:id="rId6" w:type="default"/>
      <w:pgSz w:w="11906" w:h="16838"/>
      <w:pgMar w:top="851" w:right="1531" w:bottom="737" w:left="1531" w:header="851" w:footer="992" w:gutter="0"/>
      <w:pgNumType w:fmt="numberInDash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hanging="315"/>
      </w:pPr>
      <w:r>
        <w:separator/>
      </w:r>
    </w:p>
  </w:endnote>
  <w:endnote w:type="continuationSeparator" w:id="1">
    <w:p>
      <w:pPr>
        <w:spacing w:line="240" w:lineRule="auto"/>
        <w:ind w:hanging="31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left="270" w:hanging="27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4572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ind w:left="270" w:hanging="27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36pt;width:1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EDegeHPAAAAAwEAAA8AAAAA&#10;AAAAAQAgAAAAOAAAAGRycy9kb3ducmV2LnhtbFBLAQIUABQAAAAIAIdO4kBasOETzgEAAJoDAAAO&#10;AAAAAAAAAAEAIAAAADQ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left="270" w:hanging="27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hanging="315"/>
      </w:pPr>
      <w:r>
        <w:separator/>
      </w:r>
    </w:p>
  </w:footnote>
  <w:footnote w:type="continuationSeparator" w:id="1">
    <w:p>
      <w:pPr>
        <w:spacing w:line="240" w:lineRule="auto"/>
        <w:ind w:hanging="31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0" w:firstLine="0" w:firstLineChars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5A9653"/>
    <w:multiLevelType w:val="singleLevel"/>
    <w:tmpl w:val="A85A9653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BB177B9E"/>
    <w:multiLevelType w:val="singleLevel"/>
    <w:tmpl w:val="BB177B9E"/>
    <w:lvl w:ilvl="0" w:tentative="0">
      <w:start w:val="1"/>
      <w:numFmt w:val="decimal"/>
      <w:suff w:val="nothing"/>
      <w:lvlText w:val="%1、"/>
      <w:lvlJc w:val="left"/>
      <w:pPr>
        <w:ind w:left="5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ZjMzNTI2NWZjZTNjNjUwZjQwYjdlNDgzZTI3NjkifQ=="/>
  </w:docVars>
  <w:rsids>
    <w:rsidRoot w:val="00172A27"/>
    <w:rsid w:val="00024CF8"/>
    <w:rsid w:val="00067F9D"/>
    <w:rsid w:val="000919A5"/>
    <w:rsid w:val="000F6E05"/>
    <w:rsid w:val="001147E7"/>
    <w:rsid w:val="0016514B"/>
    <w:rsid w:val="0016793B"/>
    <w:rsid w:val="0017593A"/>
    <w:rsid w:val="0019585F"/>
    <w:rsid w:val="001976C7"/>
    <w:rsid w:val="001A4E58"/>
    <w:rsid w:val="001B4F1A"/>
    <w:rsid w:val="001D5BB3"/>
    <w:rsid w:val="001E08C0"/>
    <w:rsid w:val="001E63BC"/>
    <w:rsid w:val="001F157F"/>
    <w:rsid w:val="00220B4C"/>
    <w:rsid w:val="00226BFC"/>
    <w:rsid w:val="00227A65"/>
    <w:rsid w:val="00256AC7"/>
    <w:rsid w:val="002D3B09"/>
    <w:rsid w:val="002E52D3"/>
    <w:rsid w:val="00326BD3"/>
    <w:rsid w:val="003541B8"/>
    <w:rsid w:val="003928CB"/>
    <w:rsid w:val="00393992"/>
    <w:rsid w:val="003A34D0"/>
    <w:rsid w:val="003A3A01"/>
    <w:rsid w:val="003A4AF2"/>
    <w:rsid w:val="003B15F9"/>
    <w:rsid w:val="003D5B56"/>
    <w:rsid w:val="003D759D"/>
    <w:rsid w:val="003E0F40"/>
    <w:rsid w:val="003E532A"/>
    <w:rsid w:val="0041186F"/>
    <w:rsid w:val="004168BA"/>
    <w:rsid w:val="00456E39"/>
    <w:rsid w:val="00472EA9"/>
    <w:rsid w:val="004A7662"/>
    <w:rsid w:val="004D1340"/>
    <w:rsid w:val="004E2C42"/>
    <w:rsid w:val="004E50E8"/>
    <w:rsid w:val="004F5813"/>
    <w:rsid w:val="0050060E"/>
    <w:rsid w:val="005120D9"/>
    <w:rsid w:val="00530F22"/>
    <w:rsid w:val="00541ED8"/>
    <w:rsid w:val="00547915"/>
    <w:rsid w:val="005626F1"/>
    <w:rsid w:val="005648B0"/>
    <w:rsid w:val="00587D3B"/>
    <w:rsid w:val="005922D0"/>
    <w:rsid w:val="00595391"/>
    <w:rsid w:val="005D0706"/>
    <w:rsid w:val="005D47ED"/>
    <w:rsid w:val="00611041"/>
    <w:rsid w:val="00646A43"/>
    <w:rsid w:val="00662877"/>
    <w:rsid w:val="006D51DB"/>
    <w:rsid w:val="006E4284"/>
    <w:rsid w:val="007036A6"/>
    <w:rsid w:val="007125EA"/>
    <w:rsid w:val="00733260"/>
    <w:rsid w:val="0074074A"/>
    <w:rsid w:val="00753169"/>
    <w:rsid w:val="007876E5"/>
    <w:rsid w:val="00787E79"/>
    <w:rsid w:val="007D060D"/>
    <w:rsid w:val="007E5530"/>
    <w:rsid w:val="00876E34"/>
    <w:rsid w:val="008919F4"/>
    <w:rsid w:val="00932877"/>
    <w:rsid w:val="00934182"/>
    <w:rsid w:val="00955C06"/>
    <w:rsid w:val="009732D8"/>
    <w:rsid w:val="009922F6"/>
    <w:rsid w:val="00994508"/>
    <w:rsid w:val="009D260D"/>
    <w:rsid w:val="009E3C50"/>
    <w:rsid w:val="009E72D9"/>
    <w:rsid w:val="009F4774"/>
    <w:rsid w:val="00A17AD3"/>
    <w:rsid w:val="00A20004"/>
    <w:rsid w:val="00A20D40"/>
    <w:rsid w:val="00A23D35"/>
    <w:rsid w:val="00A37BD0"/>
    <w:rsid w:val="00A445DD"/>
    <w:rsid w:val="00A55B27"/>
    <w:rsid w:val="00A739A7"/>
    <w:rsid w:val="00A76572"/>
    <w:rsid w:val="00A86C31"/>
    <w:rsid w:val="00AA1EDD"/>
    <w:rsid w:val="00AB008B"/>
    <w:rsid w:val="00AB1C7B"/>
    <w:rsid w:val="00AF3745"/>
    <w:rsid w:val="00B015F9"/>
    <w:rsid w:val="00B05810"/>
    <w:rsid w:val="00B066A9"/>
    <w:rsid w:val="00B17EC5"/>
    <w:rsid w:val="00B32E21"/>
    <w:rsid w:val="00BB1B00"/>
    <w:rsid w:val="00BB6D82"/>
    <w:rsid w:val="00BC64C5"/>
    <w:rsid w:val="00BF3FEF"/>
    <w:rsid w:val="00BF467A"/>
    <w:rsid w:val="00C0256A"/>
    <w:rsid w:val="00C034BD"/>
    <w:rsid w:val="00C06DA0"/>
    <w:rsid w:val="00C07320"/>
    <w:rsid w:val="00C13F10"/>
    <w:rsid w:val="00C237C5"/>
    <w:rsid w:val="00C2749B"/>
    <w:rsid w:val="00C3017C"/>
    <w:rsid w:val="00C41E24"/>
    <w:rsid w:val="00C54951"/>
    <w:rsid w:val="00CD00EB"/>
    <w:rsid w:val="00CE47A4"/>
    <w:rsid w:val="00CE628E"/>
    <w:rsid w:val="00CF0B71"/>
    <w:rsid w:val="00D125AC"/>
    <w:rsid w:val="00D17B56"/>
    <w:rsid w:val="00D40094"/>
    <w:rsid w:val="00D429FF"/>
    <w:rsid w:val="00D4319E"/>
    <w:rsid w:val="00D469F3"/>
    <w:rsid w:val="00D738C4"/>
    <w:rsid w:val="00D943C3"/>
    <w:rsid w:val="00DB48F7"/>
    <w:rsid w:val="00DB623B"/>
    <w:rsid w:val="00DD69AB"/>
    <w:rsid w:val="00E533CA"/>
    <w:rsid w:val="00E6124A"/>
    <w:rsid w:val="00E85B6A"/>
    <w:rsid w:val="00E95D0B"/>
    <w:rsid w:val="00EA105C"/>
    <w:rsid w:val="00EA7DF9"/>
    <w:rsid w:val="00EB669B"/>
    <w:rsid w:val="00EC04F2"/>
    <w:rsid w:val="00EC5702"/>
    <w:rsid w:val="00EC5E19"/>
    <w:rsid w:val="00EF2715"/>
    <w:rsid w:val="00F04F1F"/>
    <w:rsid w:val="00F073D6"/>
    <w:rsid w:val="00F229A1"/>
    <w:rsid w:val="00F27819"/>
    <w:rsid w:val="00F951F0"/>
    <w:rsid w:val="00FB74F1"/>
    <w:rsid w:val="00FC3198"/>
    <w:rsid w:val="00FE7DA3"/>
    <w:rsid w:val="00FF1A86"/>
    <w:rsid w:val="00FF54B5"/>
    <w:rsid w:val="015B02F1"/>
    <w:rsid w:val="02200B04"/>
    <w:rsid w:val="028235C3"/>
    <w:rsid w:val="02B726F0"/>
    <w:rsid w:val="035A4CAD"/>
    <w:rsid w:val="035C5045"/>
    <w:rsid w:val="03936CB9"/>
    <w:rsid w:val="03C525EF"/>
    <w:rsid w:val="041A73AF"/>
    <w:rsid w:val="048F1BA2"/>
    <w:rsid w:val="05197422"/>
    <w:rsid w:val="05C55D30"/>
    <w:rsid w:val="081B54CF"/>
    <w:rsid w:val="084561CB"/>
    <w:rsid w:val="09914D20"/>
    <w:rsid w:val="0A5A2300"/>
    <w:rsid w:val="0A7A5968"/>
    <w:rsid w:val="0AB20D41"/>
    <w:rsid w:val="0AD55E09"/>
    <w:rsid w:val="0AE61DC4"/>
    <w:rsid w:val="0B0264D2"/>
    <w:rsid w:val="0B7F025A"/>
    <w:rsid w:val="0B99455B"/>
    <w:rsid w:val="0BC1638D"/>
    <w:rsid w:val="0BEA5BEA"/>
    <w:rsid w:val="0C1F7781"/>
    <w:rsid w:val="0C822619"/>
    <w:rsid w:val="0CBD27D9"/>
    <w:rsid w:val="0CCE0051"/>
    <w:rsid w:val="0D6C00B7"/>
    <w:rsid w:val="0DEB5944"/>
    <w:rsid w:val="0EA51817"/>
    <w:rsid w:val="0EAC18DE"/>
    <w:rsid w:val="0EB843EB"/>
    <w:rsid w:val="0F283D96"/>
    <w:rsid w:val="0FAE7E0D"/>
    <w:rsid w:val="10020DC3"/>
    <w:rsid w:val="100A7E2A"/>
    <w:rsid w:val="1045393E"/>
    <w:rsid w:val="108B0D18"/>
    <w:rsid w:val="10A92F89"/>
    <w:rsid w:val="10B2297D"/>
    <w:rsid w:val="10FD1D28"/>
    <w:rsid w:val="116B0A37"/>
    <w:rsid w:val="118B16AA"/>
    <w:rsid w:val="119D40DB"/>
    <w:rsid w:val="12756237"/>
    <w:rsid w:val="130D1DF4"/>
    <w:rsid w:val="1312090B"/>
    <w:rsid w:val="136524C5"/>
    <w:rsid w:val="14707F93"/>
    <w:rsid w:val="15323E58"/>
    <w:rsid w:val="1562170C"/>
    <w:rsid w:val="15A44D56"/>
    <w:rsid w:val="15F33E49"/>
    <w:rsid w:val="15FE2D02"/>
    <w:rsid w:val="16397FED"/>
    <w:rsid w:val="16A47F87"/>
    <w:rsid w:val="184D4730"/>
    <w:rsid w:val="19740ACF"/>
    <w:rsid w:val="1A1B310D"/>
    <w:rsid w:val="1A4F5727"/>
    <w:rsid w:val="1BD16179"/>
    <w:rsid w:val="1D12539B"/>
    <w:rsid w:val="1D816D52"/>
    <w:rsid w:val="1E377AA5"/>
    <w:rsid w:val="1E4B1A58"/>
    <w:rsid w:val="1EA949E3"/>
    <w:rsid w:val="200F6D3F"/>
    <w:rsid w:val="2080479F"/>
    <w:rsid w:val="21C265F4"/>
    <w:rsid w:val="2210107D"/>
    <w:rsid w:val="224F7DF7"/>
    <w:rsid w:val="22602004"/>
    <w:rsid w:val="23531F5A"/>
    <w:rsid w:val="23953803"/>
    <w:rsid w:val="25137802"/>
    <w:rsid w:val="254954E3"/>
    <w:rsid w:val="257F09F3"/>
    <w:rsid w:val="25DF282F"/>
    <w:rsid w:val="28942A77"/>
    <w:rsid w:val="28CA69CA"/>
    <w:rsid w:val="28F76355"/>
    <w:rsid w:val="29542197"/>
    <w:rsid w:val="2A99768C"/>
    <w:rsid w:val="2B1175B7"/>
    <w:rsid w:val="2B12615D"/>
    <w:rsid w:val="2BF72A79"/>
    <w:rsid w:val="2CE965CF"/>
    <w:rsid w:val="2D20468D"/>
    <w:rsid w:val="2D263E4A"/>
    <w:rsid w:val="2DD935B8"/>
    <w:rsid w:val="2F6102C7"/>
    <w:rsid w:val="30656A38"/>
    <w:rsid w:val="30E97669"/>
    <w:rsid w:val="318D20D2"/>
    <w:rsid w:val="321F5E3D"/>
    <w:rsid w:val="32226733"/>
    <w:rsid w:val="323A2CC6"/>
    <w:rsid w:val="32400F46"/>
    <w:rsid w:val="329A50BF"/>
    <w:rsid w:val="33096AF0"/>
    <w:rsid w:val="33EB7043"/>
    <w:rsid w:val="349D0BF0"/>
    <w:rsid w:val="3505165F"/>
    <w:rsid w:val="359F3E3C"/>
    <w:rsid w:val="35EB79DF"/>
    <w:rsid w:val="363E7047"/>
    <w:rsid w:val="37FE52CD"/>
    <w:rsid w:val="39194A5A"/>
    <w:rsid w:val="3A2F2590"/>
    <w:rsid w:val="3ABB7152"/>
    <w:rsid w:val="3B5A618E"/>
    <w:rsid w:val="3BBE79BE"/>
    <w:rsid w:val="3D367CB0"/>
    <w:rsid w:val="3DC5629B"/>
    <w:rsid w:val="3E1C610E"/>
    <w:rsid w:val="3E350391"/>
    <w:rsid w:val="3E612F34"/>
    <w:rsid w:val="3E9A54C9"/>
    <w:rsid w:val="3EC72686"/>
    <w:rsid w:val="3EE53B65"/>
    <w:rsid w:val="3F8A6905"/>
    <w:rsid w:val="3FD04DDA"/>
    <w:rsid w:val="3FE55380"/>
    <w:rsid w:val="3FEC558C"/>
    <w:rsid w:val="3FF2288E"/>
    <w:rsid w:val="3FF67344"/>
    <w:rsid w:val="401C362E"/>
    <w:rsid w:val="403F5453"/>
    <w:rsid w:val="41F36312"/>
    <w:rsid w:val="420C1181"/>
    <w:rsid w:val="42AB5428"/>
    <w:rsid w:val="43FF339B"/>
    <w:rsid w:val="447E129C"/>
    <w:rsid w:val="453855CF"/>
    <w:rsid w:val="45CC5137"/>
    <w:rsid w:val="463C0801"/>
    <w:rsid w:val="46F342EA"/>
    <w:rsid w:val="48961A2D"/>
    <w:rsid w:val="48D65CE6"/>
    <w:rsid w:val="494C6B4A"/>
    <w:rsid w:val="49583186"/>
    <w:rsid w:val="4C6824F4"/>
    <w:rsid w:val="4CEE6B01"/>
    <w:rsid w:val="4D3442E8"/>
    <w:rsid w:val="4E4F3B28"/>
    <w:rsid w:val="4E857F13"/>
    <w:rsid w:val="4F695016"/>
    <w:rsid w:val="4F83220F"/>
    <w:rsid w:val="4FE75D5E"/>
    <w:rsid w:val="505A72B1"/>
    <w:rsid w:val="50F27E9D"/>
    <w:rsid w:val="51A66A45"/>
    <w:rsid w:val="522B4F51"/>
    <w:rsid w:val="532D1275"/>
    <w:rsid w:val="533031C8"/>
    <w:rsid w:val="548457F1"/>
    <w:rsid w:val="54E512A8"/>
    <w:rsid w:val="55075DCB"/>
    <w:rsid w:val="55155532"/>
    <w:rsid w:val="554E5B1B"/>
    <w:rsid w:val="557355CF"/>
    <w:rsid w:val="55796E0E"/>
    <w:rsid w:val="55FA1CA6"/>
    <w:rsid w:val="567D422C"/>
    <w:rsid w:val="574216FD"/>
    <w:rsid w:val="5780342F"/>
    <w:rsid w:val="57833AC4"/>
    <w:rsid w:val="57F237C5"/>
    <w:rsid w:val="58562662"/>
    <w:rsid w:val="58A35F9C"/>
    <w:rsid w:val="59E53268"/>
    <w:rsid w:val="59EAE71E"/>
    <w:rsid w:val="5A0A684D"/>
    <w:rsid w:val="5BC161BA"/>
    <w:rsid w:val="5C5B4242"/>
    <w:rsid w:val="5D5A26BF"/>
    <w:rsid w:val="5D7C6FEB"/>
    <w:rsid w:val="5F622090"/>
    <w:rsid w:val="5FD56D40"/>
    <w:rsid w:val="601E25DC"/>
    <w:rsid w:val="60335F4C"/>
    <w:rsid w:val="60634492"/>
    <w:rsid w:val="6175222C"/>
    <w:rsid w:val="61844B11"/>
    <w:rsid w:val="61A33530"/>
    <w:rsid w:val="623C4F9B"/>
    <w:rsid w:val="62D44B14"/>
    <w:rsid w:val="637864A7"/>
    <w:rsid w:val="63FA5FE0"/>
    <w:rsid w:val="6481138B"/>
    <w:rsid w:val="64E36340"/>
    <w:rsid w:val="6550648B"/>
    <w:rsid w:val="656B31BB"/>
    <w:rsid w:val="65757142"/>
    <w:rsid w:val="65A65725"/>
    <w:rsid w:val="66D239C5"/>
    <w:rsid w:val="6707201B"/>
    <w:rsid w:val="67E13146"/>
    <w:rsid w:val="68A343D7"/>
    <w:rsid w:val="68B67C4B"/>
    <w:rsid w:val="6A222969"/>
    <w:rsid w:val="6AA4583E"/>
    <w:rsid w:val="6B12150D"/>
    <w:rsid w:val="6C1763DF"/>
    <w:rsid w:val="6C5D4BE2"/>
    <w:rsid w:val="6CB03EAD"/>
    <w:rsid w:val="6CF7668E"/>
    <w:rsid w:val="6D45389E"/>
    <w:rsid w:val="6E0521EC"/>
    <w:rsid w:val="6EEE4BC6"/>
    <w:rsid w:val="6F6E2FF8"/>
    <w:rsid w:val="6FAA2D41"/>
    <w:rsid w:val="71273CB5"/>
    <w:rsid w:val="71BA1648"/>
    <w:rsid w:val="72531BAF"/>
    <w:rsid w:val="72A74630"/>
    <w:rsid w:val="73A608B6"/>
    <w:rsid w:val="73EA3012"/>
    <w:rsid w:val="740F250F"/>
    <w:rsid w:val="746A6515"/>
    <w:rsid w:val="74802E55"/>
    <w:rsid w:val="766F3739"/>
    <w:rsid w:val="7751756B"/>
    <w:rsid w:val="77B3120C"/>
    <w:rsid w:val="77D62338"/>
    <w:rsid w:val="792600EC"/>
    <w:rsid w:val="792706E3"/>
    <w:rsid w:val="796E380D"/>
    <w:rsid w:val="79CD23DD"/>
    <w:rsid w:val="7A1B7F8F"/>
    <w:rsid w:val="7A6F6CAC"/>
    <w:rsid w:val="7A8F1CDF"/>
    <w:rsid w:val="7B3665D4"/>
    <w:rsid w:val="7B86755B"/>
    <w:rsid w:val="7CD662C0"/>
    <w:rsid w:val="7CD76583"/>
    <w:rsid w:val="7EB77C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nhideWhenUsed="0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0" w:lineRule="exact"/>
      <w:ind w:left="150" w:hanging="150" w:hangingChars="15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spacing w:before="100" w:beforeAutospacing="1" w:after="100" w:afterAutospacing="1" w:line="240" w:lineRule="auto"/>
      <w:ind w:left="0" w:firstLine="0" w:firstLineChars="0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4">
    <w:name w:val="heading 2"/>
    <w:basedOn w:val="1"/>
    <w:next w:val="1"/>
    <w:link w:val="16"/>
    <w:qFormat/>
    <w:uiPriority w:val="0"/>
    <w:pPr>
      <w:spacing w:before="100" w:beforeAutospacing="1" w:after="100" w:afterAutospacing="1" w:line="240" w:lineRule="auto"/>
      <w:ind w:left="0" w:firstLine="0" w:firstLineChars="0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5">
    <w:name w:val="heading 3"/>
    <w:basedOn w:val="1"/>
    <w:next w:val="1"/>
    <w:link w:val="17"/>
    <w:qFormat/>
    <w:uiPriority w:val="0"/>
    <w:pPr>
      <w:spacing w:before="100" w:beforeAutospacing="1" w:after="100" w:afterAutospacing="1" w:line="240" w:lineRule="auto"/>
      <w:ind w:left="0" w:firstLine="0" w:firstLineChars="0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8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9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 w:line="240" w:lineRule="auto"/>
      <w:ind w:left="0" w:firstLine="0" w:firstLineChars="0"/>
      <w:jc w:val="left"/>
    </w:pPr>
    <w:rPr>
      <w:rFonts w:ascii="Times New Roman" w:hAnsi="Times New Roman"/>
      <w:kern w:val="0"/>
      <w:sz w:val="24"/>
      <w:szCs w:val="24"/>
    </w:rPr>
  </w:style>
  <w:style w:type="paragraph" w:styleId="12">
    <w:name w:val="Body Text First Indent 2"/>
    <w:basedOn w:val="6"/>
    <w:qFormat/>
    <w:uiPriority w:val="0"/>
    <w:pPr>
      <w:spacing w:after="0"/>
      <w:ind w:firstLine="420" w:firstLineChars="200"/>
    </w:pPr>
  </w:style>
  <w:style w:type="character" w:customStyle="1" w:styleId="15">
    <w:name w:val="标题 1 Char"/>
    <w:basedOn w:val="14"/>
    <w:link w:val="3"/>
    <w:qFormat/>
    <w:uiPriority w:val="0"/>
    <w:rPr>
      <w:rFonts w:ascii="宋体" w:hAnsi="宋体"/>
      <w:b/>
      <w:kern w:val="44"/>
      <w:sz w:val="48"/>
      <w:szCs w:val="48"/>
    </w:rPr>
  </w:style>
  <w:style w:type="character" w:customStyle="1" w:styleId="16">
    <w:name w:val="标题 2 Char"/>
    <w:basedOn w:val="14"/>
    <w:link w:val="4"/>
    <w:qFormat/>
    <w:uiPriority w:val="0"/>
    <w:rPr>
      <w:rFonts w:ascii="宋体" w:hAnsi="宋体"/>
      <w:b/>
      <w:sz w:val="36"/>
      <w:szCs w:val="36"/>
    </w:rPr>
  </w:style>
  <w:style w:type="character" w:customStyle="1" w:styleId="17">
    <w:name w:val="标题 3 Char"/>
    <w:basedOn w:val="14"/>
    <w:link w:val="5"/>
    <w:qFormat/>
    <w:uiPriority w:val="0"/>
    <w:rPr>
      <w:rFonts w:ascii="宋体" w:hAnsi="宋体"/>
      <w:b/>
      <w:sz w:val="27"/>
      <w:szCs w:val="27"/>
    </w:rPr>
  </w:style>
  <w:style w:type="character" w:customStyle="1" w:styleId="18">
    <w:name w:val="日期 Char"/>
    <w:basedOn w:val="14"/>
    <w:link w:val="8"/>
    <w:semiHidden/>
    <w:qFormat/>
    <w:uiPriority w:val="99"/>
    <w:rPr>
      <w:kern w:val="2"/>
      <w:sz w:val="21"/>
      <w:szCs w:val="22"/>
    </w:rPr>
  </w:style>
  <w:style w:type="character" w:customStyle="1" w:styleId="19">
    <w:name w:val="页脚 Char"/>
    <w:basedOn w:val="14"/>
    <w:link w:val="9"/>
    <w:qFormat/>
    <w:uiPriority w:val="99"/>
    <w:rPr>
      <w:kern w:val="2"/>
      <w:sz w:val="18"/>
      <w:szCs w:val="18"/>
    </w:rPr>
  </w:style>
  <w:style w:type="character" w:customStyle="1" w:styleId="20">
    <w:name w:val="页眉 Char"/>
    <w:basedOn w:val="14"/>
    <w:link w:val="10"/>
    <w:qFormat/>
    <w:uiPriority w:val="0"/>
    <w:rPr>
      <w:kern w:val="2"/>
      <w:sz w:val="18"/>
      <w:szCs w:val="18"/>
    </w:rPr>
  </w:style>
  <w:style w:type="paragraph" w:customStyle="1" w:styleId="21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character" w:customStyle="1" w:styleId="22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11"/>
    <w:basedOn w:val="14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2717</Words>
  <Characters>2941</Characters>
  <Lines>40</Lines>
  <Paragraphs>11</Paragraphs>
  <TotalTime>202</TotalTime>
  <ScaleCrop>false</ScaleCrop>
  <LinksUpToDate>false</LinksUpToDate>
  <CharactersWithSpaces>2942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2023-04-19T10:28:00Z</dcterms:created>
  <dc:creator>xbany</dc:creator>
  <cp:lastModifiedBy>huang</cp:lastModifiedBy>
  <cp:lastPrinted>2024-06-27T15:38:00Z</cp:lastPrinted>
  <dcterms:modified xsi:type="dcterms:W3CDTF">2025-12-30T16:42:38Z</dcterms:modified>
  <dc:title>新邵县财政局关于开展县交警大队部门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0DA526E17A9D4A84840134BDF6165662_13</vt:lpwstr>
  </property>
  <property fmtid="{D5CDD505-2E9C-101B-9397-08002B2CF9AE}" pid="4" name="KSOTemplateDocerSaveRecord">
    <vt:lpwstr>eyJoZGlkIjoiNzQxM2RmMzliMDk1NDM3Zjg2OTNmNTczOGU0NjY0MmUiLCJ1c2VySWQiOiIyMzA4NzEzMTcifQ==</vt:lpwstr>
  </property>
</Properties>
</file>