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27611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0"/>
        <w:jc w:val="center"/>
        <w:rPr>
          <w:rFonts w:ascii="黑体" w:hAnsi="宋体" w:eastAsia="黑体" w:cs="黑体"/>
          <w:i w:val="0"/>
          <w:iCs w:val="0"/>
          <w:caps w:val="0"/>
          <w:color w:val="auto"/>
          <w:spacing w:val="0"/>
          <w:kern w:val="0"/>
          <w:sz w:val="44"/>
          <w:szCs w:val="44"/>
          <w:shd w:val="clear" w:fill="FFFFFF"/>
          <w:vertAlign w:val="baseline"/>
          <w:lang w:val="en-US" w:eastAsia="zh-CN" w:bidi="ar"/>
        </w:rPr>
      </w:pPr>
    </w:p>
    <w:p w14:paraId="00F4F92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0" w:lineRule="atLeast"/>
        <w:ind w:left="0" w:right="0" w:firstLine="0"/>
        <w:jc w:val="both"/>
        <w:rPr>
          <w:rFonts w:hint="default" w:ascii="国标仿宋-GB/T 2312" w:hAnsi="国标仿宋-GB/T 2312" w:eastAsia="国标仿宋-GB/T 2312" w:cs="国标仿宋-GB/T 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  <w:lang w:val="en-US" w:eastAsia="zh-CN"/>
        </w:rPr>
      </w:pPr>
      <w:bookmarkStart w:id="0" w:name="_GoBack"/>
      <w:bookmarkEnd w:id="0"/>
      <w:r>
        <w:rPr>
          <w:rFonts w:hint="eastAsia" w:ascii="国标仿宋-GB/T 2312" w:hAnsi="国标仿宋-GB/T 2312" w:eastAsia="国标仿宋-GB/T 2312" w:cs="国标仿宋-GB/T 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  <w:lang w:eastAsia="zh-CN"/>
        </w:rPr>
        <w:t>附件</w:t>
      </w:r>
      <w:r>
        <w:rPr>
          <w:rFonts w:hint="eastAsia" w:ascii="国标仿宋-GB/T 2312" w:hAnsi="国标仿宋-GB/T 2312" w:eastAsia="国标仿宋-GB/T 2312" w:cs="国标仿宋-GB/T 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  <w:lang w:val="en-US" w:eastAsia="zh-CN"/>
        </w:rPr>
        <w:t>2</w:t>
      </w:r>
    </w:p>
    <w:p w14:paraId="7E3FF29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0" w:lineRule="atLeast"/>
        <w:ind w:left="0" w:right="0" w:firstLine="0"/>
        <w:jc w:val="center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44"/>
          <w:szCs w:val="44"/>
          <w:shd w:val="clear" w:fill="FFFFFF"/>
          <w:vertAlign w:val="baseline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44"/>
          <w:szCs w:val="44"/>
          <w:shd w:val="clear" w:fill="FFFFFF"/>
          <w:vertAlign w:val="baseline"/>
          <w:lang w:val="en-US" w:eastAsia="zh-CN"/>
        </w:rPr>
        <w:t>全市大气污染防治重点治理项目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44"/>
          <w:szCs w:val="44"/>
          <w:shd w:val="clear" w:fill="FFFFFF"/>
          <w:vertAlign w:val="baseline"/>
        </w:rPr>
        <w:t>整改销号情况公示表</w:t>
      </w:r>
    </w:p>
    <w:p w14:paraId="0E968A8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0" w:lineRule="atLeast"/>
        <w:ind w:left="0" w:right="0" w:firstLine="0"/>
        <w:jc w:val="center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44"/>
          <w:szCs w:val="44"/>
          <w:shd w:val="clear" w:fill="FFFFFF"/>
          <w:vertAlign w:val="baseline"/>
        </w:rPr>
      </w:pPr>
    </w:p>
    <w:tbl>
      <w:tblPr>
        <w:tblStyle w:val="6"/>
        <w:tblW w:w="87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1"/>
        <w:gridCol w:w="7110"/>
      </w:tblGrid>
      <w:tr w14:paraId="01A00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1" w:type="dxa"/>
            <w:vAlign w:val="center"/>
          </w:tcPr>
          <w:p w14:paraId="75C6C1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任务目标</w:t>
            </w:r>
          </w:p>
        </w:tc>
        <w:tc>
          <w:tcPr>
            <w:tcW w:w="7110" w:type="dxa"/>
          </w:tcPr>
          <w:p w14:paraId="5FD01447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520" w:lineRule="exact"/>
              <w:ind w:right="0" w:rightChars="0" w:firstLine="640" w:firstLineChars="200"/>
              <w:jc w:val="both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32323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  <w:t>2025年12月31日前，严格落实《产业结构指导目录》（2024年本）相关要求，完成我县13台10蒸吨及以下燃煤锅炉和2蒸吨及以下生物质锅炉淘汰退出任务。</w:t>
            </w:r>
          </w:p>
        </w:tc>
      </w:tr>
      <w:tr w14:paraId="20A2F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1" w:type="dxa"/>
            <w:vAlign w:val="center"/>
          </w:tcPr>
          <w:p w14:paraId="71A25B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具体措施</w:t>
            </w:r>
          </w:p>
        </w:tc>
        <w:tc>
          <w:tcPr>
            <w:tcW w:w="7110" w:type="dxa"/>
          </w:tcPr>
          <w:p w14:paraId="2FB19E08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520" w:lineRule="exact"/>
              <w:ind w:right="0" w:rightChars="0" w:firstLine="643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kern w:val="2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color w:val="auto"/>
                <w:kern w:val="2"/>
                <w:sz w:val="32"/>
                <w:szCs w:val="32"/>
                <w:vertAlign w:val="baseline"/>
                <w:lang w:val="en-US" w:eastAsia="zh-CN" w:bidi="ar"/>
              </w:rPr>
              <w:t>1.依法依规退出。</w:t>
            </w: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kern w:val="2"/>
                <w:sz w:val="32"/>
                <w:szCs w:val="32"/>
                <w:vertAlign w:val="baseline"/>
                <w:lang w:val="en-US" w:eastAsia="zh-CN" w:bidi="ar"/>
              </w:rPr>
              <w:t>对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32323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  <w:t>10蒸吨及以下燃煤锅炉、</w:t>
            </w: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kern w:val="2"/>
                <w:sz w:val="32"/>
                <w:szCs w:val="32"/>
                <w:vertAlign w:val="baseline"/>
                <w:lang w:val="en-US" w:eastAsia="zh-CN" w:bidi="ar"/>
              </w:rPr>
              <w:t>2蒸吨/小时及以下生物质锅炉等属于淘汰类的锅炉，分类别、分批次在规定的时间节点内，严格按照《产业结构调整指导目录（2024版）》要求全部淘汰到位。</w:t>
            </w:r>
          </w:p>
          <w:p w14:paraId="5A500E05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520" w:lineRule="exact"/>
              <w:ind w:right="0" w:rightChars="0" w:firstLine="643" w:firstLineChars="20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color w:val="auto"/>
                <w:kern w:val="2"/>
                <w:sz w:val="32"/>
                <w:szCs w:val="32"/>
                <w:vertAlign w:val="baseline"/>
                <w:lang w:val="en-US" w:eastAsia="zh-CN" w:bidi="ar"/>
              </w:rPr>
              <w:t>2.严格锅炉准入。</w:t>
            </w: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kern w:val="2"/>
                <w:sz w:val="32"/>
                <w:szCs w:val="32"/>
                <w:vertAlign w:val="baseline"/>
                <w:lang w:val="en-US" w:eastAsia="zh-CN" w:bidi="ar"/>
              </w:rPr>
              <w:t>全面落实《产业结构调整指导目录（2024版）》，列入限制类和淘汰类的锅炉不得再办理使用登记、安装、监督、检验。</w:t>
            </w:r>
          </w:p>
        </w:tc>
      </w:tr>
      <w:tr w14:paraId="1D1BC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1" w:type="dxa"/>
            <w:vAlign w:val="center"/>
          </w:tcPr>
          <w:p w14:paraId="0C7AFE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完成销号情况</w:t>
            </w:r>
          </w:p>
        </w:tc>
        <w:tc>
          <w:tcPr>
            <w:tcW w:w="7110" w:type="dxa"/>
          </w:tcPr>
          <w:p w14:paraId="792C4766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520" w:lineRule="exact"/>
              <w:ind w:right="0" w:rightChars="0" w:firstLine="640" w:firstLineChars="20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kern w:val="2"/>
                <w:sz w:val="32"/>
                <w:szCs w:val="32"/>
                <w:vertAlign w:val="baseline"/>
                <w:lang w:val="en-US" w:eastAsia="zh-CN" w:bidi="ar"/>
              </w:rPr>
              <w:t>经县科工信局、县市监局、市生态环境局新邵分局、县发改局联合进行现场核查，13台2蒸吨/小时及以下生物质锅炉已全部淘汰注销，其中改造升级变更6台，拆除3台，未整体拆除的4台锅炉已拆除压力表、安全阀、进水管、出气管等功能设施，已去功能化，达到不具备复产能力的标准。</w:t>
            </w:r>
          </w:p>
        </w:tc>
      </w:tr>
    </w:tbl>
    <w:p w14:paraId="139BD3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国标仿宋-GB/T 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EFCC74"/>
    <w:rsid w:val="1EF6133C"/>
    <w:rsid w:val="4ABC3BAC"/>
    <w:rsid w:val="67FFAE6F"/>
    <w:rsid w:val="70475845"/>
    <w:rsid w:val="7B5A35D2"/>
    <w:rsid w:val="DFF78F77"/>
    <w:rsid w:val="F9937999"/>
    <w:rsid w:val="FEC36291"/>
    <w:rsid w:val="FF9FB075"/>
    <w:rsid w:val="FFEFC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Normal (Web)"/>
    <w:basedOn w:val="1"/>
    <w:qFormat/>
    <w:uiPriority w:val="0"/>
    <w:rPr>
      <w:sz w:val="24"/>
    </w:rPr>
  </w:style>
  <w:style w:type="paragraph" w:styleId="4">
    <w:name w:val="Body Text First Indent"/>
    <w:basedOn w:val="2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240" w:lineRule="auto"/>
      <w:ind w:left="0" w:firstLine="100" w:firstLineChars="100"/>
      <w:jc w:val="both"/>
    </w:pPr>
    <w:rPr>
      <w:rFonts w:hint="default" w:ascii="Calibri" w:hAnsi="Calibri" w:eastAsia="宋体" w:cs="Times New Roman"/>
      <w:kern w:val="2"/>
      <w:sz w:val="35"/>
      <w:szCs w:val="35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1415</Words>
  <Characters>1506</Characters>
  <Lines>0</Lines>
  <Paragraphs>0</Paragraphs>
  <TotalTime>20</TotalTime>
  <ScaleCrop>false</ScaleCrop>
  <LinksUpToDate>false</LinksUpToDate>
  <CharactersWithSpaces>1513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2025-10-31T12:18:00Z</dcterms:created>
  <dc:creator>NOTHING</dc:creator>
  <cp:lastModifiedBy>Administrator</cp:lastModifiedBy>
  <dcterms:modified xsi:type="dcterms:W3CDTF">2025-11-07T07:17:46Z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eyJoZGlkIjoiOGU0NzczNDM2ZGJlNjBmYmQ3YmUwYWE0ODU1NTI3MzkifQ==</vt:lpwstr>
  </property>
  <property fmtid="{D5CDD505-2E9C-101B-9397-08002B2CF9AE}" pid="4" name="ICV">
    <vt:lpwstr>DC5D866A349B4CBFAECDAA977FEC275D_13</vt:lpwstr>
  </property>
</Properties>
</file>